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26-292</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114</w:t>
      </w:r>
    </w:p>
    <w:p>
      <w:pPr>
        <w:spacing w:before="0" w:after="0" w:line="480"/>
        <w:ind w:left="120"/>
        <w:jc w:val="center"/>
      </w:pPr>
      <w:r>
        <w:rPr>
          <w:rFonts w:ascii="Times New Roman" w:hAnsi="Times New Roman"/>
          <w:b w:val="false"/>
          <w:i w:val="false"/>
          <w:color w:val="000000"/>
          <w:sz w:val="24"/>
        </w:rPr>
        <w:t>“Licensing and Regulation of All Group Living Foster Care Facilities for Children”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237.3</w:t>
      </w:r>
    </w:p>
    <w:p>
      <w:pPr>
        <w:spacing w:before="0" w:after="0" w:line="480"/>
        <w:ind w:left="120"/>
        <w:jc w:val="both"/>
      </w:pPr>
      <w:r>
        <w:rPr>
          <w:rFonts w:ascii="Times New Roman" w:hAnsi="Times New Roman"/>
          <w:b w:val="false"/>
          <w:i w:val="false"/>
          <w:color w:val="000000"/>
          <w:sz w:val="24"/>
        </w:rPr>
        <w:t>State or federal law(s) implemented by the rulemaking: Iowa Code chapter 237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211 532 914 792 67</w:t>
            </w:r>
            <w:r>
              <w:br/>
            </w:r>
            <w:r>
              <w:rPr>
                <w:rFonts w:ascii="Times New Roman" w:hAnsi="Times New Roman"/>
                <w:b w:val="false"/>
                <w:i w:val="false"/>
                <w:color w:val="000000"/>
                <w:sz w:val="14"/>
              </w:rPr>
              <w:t>Passcode: 94Ve93DX</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in Executive Order 10. As a result of this review, restrictive terms were removed, areas that were duplicative were combined or eliminated, and editorial updates were made to processes and procedures to ensure they reflect current policies and procedures. Chapter 114 outlines the basic standards for all group living foster care facilities in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families in Iowa will benefit from having clear, concise, and accurate rules regarding the certification standards for children’s residential foster care facilities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As of SFY 26, there were 13 different agencies across 52 different sites that can care for up to a total of 835 children.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and families will benefit from having clear, concise, and accurate rules regarding the certification standards for children’s residential foster care facilities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237.3.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114</w:t>
      </w:r>
    </w:p>
    <w:p>
      <w:pPr>
        <w:spacing w:before="0" w:after="0" w:line="480"/>
        <w:ind w:left="120"/>
        <w:jc w:val="center"/>
      </w:pPr>
      <w:r>
        <w:rPr>
          <w:rFonts w:ascii="Times New Roman" w:hAnsi="Times New Roman"/>
          <w:b w:val="false"/>
          <w:i w:val="false"/>
          <w:color w:val="000000"/>
          <w:sz w:val="21"/>
        </w:rPr>
        <w:t xml:space="preserve">LICENSING AND REGULATION OF ALL </w:t>
      </w:r>
      <w:r>
        <w:br/>
      </w:r>
      <w:r>
        <w:rPr>
          <w:rFonts w:ascii="Times New Roman" w:hAnsi="Times New Roman"/>
          <w:b w:val="false"/>
          <w:i w:val="false"/>
          <w:color w:val="000000"/>
          <w:sz w:val="21"/>
        </w:rPr>
        <w:t>GROUP LIVING FOSTER CARE FACILITIES FOR CHILDREN</w:t>
      </w:r>
    </w:p>
    <w:p>
      <w:pPr>
        <w:spacing w:before="0" w:after="0" w:line="480"/>
        <w:ind w:left="120"/>
        <w:jc w:val="both"/>
      </w:pPr>
      <w:r>
        <w:rPr>
          <w:rFonts w:ascii="Times New Roman" w:hAnsi="Times New Roman"/>
          <w:b/>
          <w:i w:val="false"/>
          <w:color w:val="000000"/>
          <w:sz w:val="24"/>
        </w:rPr>
        <w:t>441—114.1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“Adequate lighting”</w:t>
      </w:r>
      <w:r>
        <w:rPr>
          <w:rFonts w:ascii="Times New Roman" w:hAnsi="Times New Roman"/>
          <w:b w:val="false"/>
          <w:i/>
          <w:color w:val="000000"/>
          <w:sz w:val="24"/>
          <w:u w:val="single"/>
        </w:rPr>
        <w:t> </w:t>
      </w:r>
      <w:r>
        <w:rPr>
          <w:rFonts w:ascii="Times New Roman" w:hAnsi="Times New Roman"/>
          <w:b w:val="false"/>
          <w:i w:val="false"/>
          <w:color w:val="000000"/>
          <w:sz w:val="24"/>
        </w:rPr>
        <w:t>means a light intensity of the approximate equivalent to a 60-watt bulb at a clear distance of 5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“Caseworker”</w:t>
      </w:r>
      <w:r>
        <w:rPr>
          <w:rFonts w:ascii="Times New Roman" w:hAnsi="Times New Roman"/>
          <w:b w:val="false"/>
          <w:i/>
          <w:color w:val="000000"/>
          <w:sz w:val="24"/>
          <w:u w:val="single"/>
        </w:rPr>
        <w:t> </w:t>
      </w:r>
      <w:r>
        <w:rPr>
          <w:rFonts w:ascii="Times New Roman" w:hAnsi="Times New Roman"/>
          <w:b w:val="false"/>
          <w:i w:val="false"/>
          <w:color w:val="000000"/>
          <w:sz w:val="24"/>
        </w:rPr>
        <w:t>means any staff of the facility who is primarily responsible for planning for individual children, a family, or groups, as well as coordination with referral sources and coordination of services to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“Casework supervisor”</w:t>
      </w:r>
      <w:r>
        <w:rPr>
          <w:rFonts w:ascii="Times New Roman" w:hAnsi="Times New Roman"/>
          <w:b w:val="false"/>
          <w:i/>
          <w:color w:val="000000"/>
          <w:sz w:val="24"/>
          <w:u w:val="single"/>
        </w:rPr>
        <w:t> </w:t>
      </w:r>
      <w:r>
        <w:rPr>
          <w:rFonts w:ascii="Times New Roman" w:hAnsi="Times New Roman"/>
          <w:b w:val="false"/>
          <w:i w:val="false"/>
          <w:color w:val="000000"/>
          <w:sz w:val="24"/>
        </w:rPr>
        <w:t>means any staff of the facility who provides supervision of the caseworker(s) by regularly scheduled face-to-face case specific discussions with the caseworker.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worker”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5">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“Control room”</w:t>
      </w:r>
      <w:r>
        <w:rPr>
          <w:rFonts w:ascii="Times New Roman" w:hAnsi="Times New Roman"/>
          <w:b w:val="false"/>
          <w:i/>
          <w:color w:val="000000"/>
          <w:sz w:val="24"/>
          <w:u w:val="single"/>
        </w:rPr>
        <w:t> </w:t>
      </w:r>
      <w:r>
        <w:rPr>
          <w:rFonts w:ascii="Times New Roman" w:hAnsi="Times New Roman"/>
          <w:b w:val="false"/>
          <w:i w:val="false"/>
          <w:color w:val="000000"/>
          <w:sz w:val="24"/>
        </w:rPr>
        <w:t>means a locked room used for treatment purposes in a comprehensive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“Corporal punishment”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6">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family,”</w:t>
      </w:r>
      <w:r>
        <w:rPr>
          <w:rFonts w:ascii="Times New Roman" w:hAnsi="Times New Roman"/>
          <w:b w:val="false"/>
          <w:i/>
          <w:color w:val="000000"/>
          <w:sz w:val="24"/>
          <w:u w:val="single"/>
        </w:rPr>
        <w:t> </w:t>
      </w:r>
      <w:r>
        <w:rPr>
          <w:rFonts w:ascii="Times New Roman" w:hAnsi="Times New Roman"/>
          <w:b w:val="false"/>
          <w:i w:val="false"/>
          <w:color w:val="000000"/>
          <w:sz w:val="24"/>
        </w:rPr>
        <w:t>for the purposes of this chapter, means persons who have a blood or legal relationship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“Mechanical restraint”</w:t>
      </w:r>
      <w:r>
        <w:rPr>
          <w:rFonts w:ascii="Times New Roman" w:hAnsi="Times New Roman"/>
          <w:b w:val="false"/>
          <w:i/>
          <w:color w:val="000000"/>
          <w:sz w:val="24"/>
          <w:u w:val="single"/>
        </w:rPr>
        <w:t> </w:t>
      </w:r>
      <w:r>
        <w:rPr>
          <w:rFonts w:ascii="Times New Roman" w:hAnsi="Times New Roman"/>
          <w:b w:val="false"/>
          <w:i w:val="false"/>
          <w:color w:val="000000"/>
          <w:sz w:val="24"/>
        </w:rPr>
        <w:t>means restriction by the use of a mechanical device of a child’s mobility or ability to use the hands, arms, or legs.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restraint”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7">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“Prone restraint”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8">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locked environment”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237.1(17)</w:t>
        </w:r>
      </w:hyperlink>
      <w:r>
        <w:rPr>
          <w:rFonts w:ascii="Times New Roman" w:hAnsi="Times New Roman"/>
          <w:b w:val="false"/>
          <w:i w:val="false"/>
          <w:color w:val="000000"/>
          <w:sz w:val="24"/>
        </w:rPr>
        <w:t>.  Examples to implement a protective locked environment could include but are not limited to secured doors, delayed locks, secured windows, badge-only access doors, and external fencing around the property perimeter.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“Schedule II medications”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those controlled substances identified in Iowa Code chapter </w:t>
      </w:r>
      <w:hyperlink r:id="rId10">
        <w:r>
          <w:rPr>
            <w:rStyle w:val="Hyperlink"/>
            <w:rFonts w:ascii="Times New Roman" w:hAnsi="Times New Roman"/>
            <w:b w:val="false"/>
            <w:i w:val="false"/>
            <w:color w:val="000000"/>
            <w:sz w:val="24"/>
          </w:rPr>
          <w:t>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11">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 out”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12">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441—114.2</w:t>
      </w:r>
      <w:r>
        <w:rPr>
          <w:rFonts w:ascii="Times New Roman" w:hAnsi="Times New Roman"/>
          <w:b/>
          <w:i w:val="false"/>
          <w:color w:val="000000"/>
          <w:sz w:val="24"/>
        </w:rPr>
        <w:t xml:space="preserve">(237) </w:t>
      </w:r>
      <w:r>
        <w:rPr>
          <w:rFonts w:ascii="Times New Roman" w:hAnsi="Times New Roman"/>
          <w:b/>
          <w:i w:val="false"/>
          <w:color w:val="000000"/>
          <w:sz w:val="24"/>
        </w:rPr>
        <w:t xml:space="preserve">Physical standards. </w:t>
      </w:r>
      <w:r>
        <w:rPr>
          <w:rFonts w:ascii="Times New Roman" w:hAnsi="Times New Roman"/>
          <w:b w:val="false"/>
          <w:i w:val="false"/>
          <w:color w:val="000000"/>
          <w:sz w:val="24"/>
        </w:rPr>
        <w:t>Local building and zoning ordinances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114.2(1)</w:t>
      </w:r>
      <w:r>
        <w:rPr>
          <w:rFonts w:ascii="Times New Roman" w:hAnsi="Times New Roman"/>
          <w:b w:val="false"/>
          <w:i w:val="false"/>
          <w:color w:val="000000"/>
          <w:sz w:val="24"/>
        </w:rPr>
        <w:t> </w:t>
      </w:r>
      <w:r>
        <w:rPr>
          <w:rFonts w:ascii="Times New Roman" w:hAnsi="Times New Roman"/>
          <w:b w:val="false"/>
          <w:i/>
          <w:color w:val="000000"/>
          <w:sz w:val="24"/>
        </w:rPr>
        <w:t xml:space="preserve">Grounds.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outdoor recreational area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recreational area shall be identified and kept free from hazards that could cause injury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Rubbish and trash shall be kept separated from the recreational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grounds shall be adequately drained.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114.2(2)</w:t>
      </w:r>
      <w:r>
        <w:rPr>
          <w:rFonts w:ascii="Times New Roman" w:hAnsi="Times New Roman"/>
          <w:b w:val="false"/>
          <w:i w:val="false"/>
          <w:color w:val="000000"/>
          <w:sz w:val="24"/>
        </w:rPr>
        <w:t> </w:t>
      </w:r>
      <w:r>
        <w:rPr>
          <w:rFonts w:ascii="Times New Roman" w:hAnsi="Times New Roman"/>
          <w:b w:val="false"/>
          <w:i/>
          <w:color w:val="000000"/>
          <w:sz w:val="24"/>
        </w:rPr>
        <w:t xml:space="preserve">Buildings.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living areas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screens on windows used for ventilation.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maintained in clean and sanitary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in safe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for adequate lighting when natural sunlight is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Have heating and storage areas separated from sleeping or play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Have walls and ceiling surfaced with materials that are asbestos free.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sleeping rooms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a minimum of 60 square feet per child for multiple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a minimum of 80 square feet per child for single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sleep more than four children per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of finished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rooms aboveground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ceiling height of at least 7 feet, 6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window area of at least 8 percent of the floor area unless mechanical ventilation is provided that is capable of removing dampness and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rooms belowground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ceiling height of at least 6 feet, 8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window area of at least 2 percent of the floor area unless mechanical ventilation is provided that is capable of removing dampness and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floor and walls constructed of concrete or other materials and free from groundwater leakage.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114.2(3)</w:t>
      </w:r>
      <w:r>
        <w:rPr>
          <w:rFonts w:ascii="Times New Roman" w:hAnsi="Times New Roman"/>
          <w:b w:val="false"/>
          <w:i w:val="false"/>
          <w:color w:val="000000"/>
          <w:sz w:val="24"/>
        </w:rPr>
        <w:t> </w:t>
      </w:r>
      <w:r>
        <w:rPr>
          <w:rFonts w:ascii="Times New Roman" w:hAnsi="Times New Roman"/>
          <w:b w:val="false"/>
          <w:i/>
          <w:color w:val="000000"/>
          <w:sz w:val="24"/>
        </w:rPr>
        <w:t xml:space="preserve">Bedrooms.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child in care shall have a solidly constructed 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Sheets, pillowcases, and blankets shall be provided for each child and shall be kept clean and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child in care shall have storage space for private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over the age of five years shall occupy a bedroom with a member of the opposite sex.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114.2(4)</w:t>
      </w:r>
      <w:r>
        <w:rPr>
          <w:rFonts w:ascii="Times New Roman" w:hAnsi="Times New Roman"/>
          <w:b w:val="false"/>
          <w:i w:val="false"/>
          <w:color w:val="000000"/>
          <w:sz w:val="24"/>
        </w:rPr>
        <w:t> </w:t>
      </w:r>
      <w:r>
        <w:rPr>
          <w:rFonts w:ascii="Times New Roman" w:hAnsi="Times New Roman"/>
          <w:b w:val="false"/>
          <w:i/>
          <w:color w:val="000000"/>
          <w:sz w:val="24"/>
        </w:rPr>
        <w:t xml:space="preserve">Heating, ventilation, and air conditioning (HVAC).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heating unit shall be located and operated to maintain the temperature in the living quarters at a minimum of 65 degrees Fahrenheit and a maximum of 80 degrees Fahrenheit. Variances may be made in case of health problems. Temperature is measured at 24 inches above the floor in the middle of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space heaters and water heaters involving the combustion of fuel, such as gas, oil or similar fuel, shall be vented to the outside. Space heaters are allowed only in common areas with staff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gas and oil lines for heating systems, water heaters, and stoves/ovens shall meet existing building and health code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HVAC system shall be checked yearly by a qualified HVAC professional and maintained in a safe working condition at all times.</w:t>
      </w:r>
    </w:p>
    <w:p>
      <w:pPr>
        <w:spacing w:before="0" w:after="0" w:line="480"/>
        <w:ind w:left="120"/>
        <w:jc w:val="both"/>
      </w:pPr>
      <w:r>
        <w:rPr>
          <w:rFonts w:ascii="Times New Roman" w:hAnsi="Times New Roman"/>
          <w:b/>
          <w:i w:val="false"/>
          <w:color w:val="000000"/>
          <w:sz w:val="24"/>
        </w:rPr>
        <w:t>441—114.3</w:t>
      </w:r>
      <w:r>
        <w:rPr>
          <w:rFonts w:ascii="Times New Roman" w:hAnsi="Times New Roman"/>
          <w:b/>
          <w:i w:val="false"/>
          <w:color w:val="000000"/>
          <w:sz w:val="24"/>
        </w:rPr>
        <w:t xml:space="preserve">(237) </w:t>
      </w:r>
      <w:r>
        <w:rPr>
          <w:rFonts w:ascii="Times New Roman" w:hAnsi="Times New Roman"/>
          <w:b/>
          <w:i w:val="false"/>
          <w:color w:val="000000"/>
          <w:sz w:val="24"/>
        </w:rPr>
        <w:t xml:space="preserve">Sanitation, water, and waste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114.3(1)</w:t>
      </w:r>
      <w:r>
        <w:rPr>
          <w:rFonts w:ascii="Times New Roman" w:hAnsi="Times New Roman"/>
          <w:b w:val="false"/>
          <w:i w:val="false"/>
          <w:color w:val="000000"/>
          <w:sz w:val="24"/>
        </w:rPr>
        <w:t> </w:t>
      </w:r>
      <w:r>
        <w:rPr>
          <w:rFonts w:ascii="Times New Roman" w:hAnsi="Times New Roman"/>
          <w:b w:val="false"/>
          <w:i/>
          <w:color w:val="000000"/>
          <w:sz w:val="24"/>
        </w:rPr>
        <w:t xml:space="preserve">Bathroom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Bathrooms shall have an adequate supply of hot and cold running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bathroom shall be properly equipped with toilet tissue and hand-washing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Toilets and baths or showers shall provide for individual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shall be a shower or tub for each ten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Tubs and showers shall have slip-proof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At least one toilet and one sink shall be provided for each six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Toilet facilities shall be provided with natural or artificial ventilation capable of removing odors and moisture.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Toilet facilities adjacent to a food preparation area shall be separated completely by an enclosed solid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All toilet facilities shall be kept clean.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All bathroom facilities shall be maintained in good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114.3(2)</w:t>
      </w:r>
      <w:r>
        <w:rPr>
          <w:rFonts w:ascii="Times New Roman" w:hAnsi="Times New Roman"/>
          <w:b w:val="false"/>
          <w:i w:val="false"/>
          <w:color w:val="000000"/>
          <w:sz w:val="24"/>
        </w:rPr>
        <w:t> </w:t>
      </w:r>
      <w:r>
        <w:rPr>
          <w:rFonts w:ascii="Times New Roman" w:hAnsi="Times New Roman"/>
          <w:b w:val="false"/>
          <w:i/>
          <w:color w:val="000000"/>
          <w:sz w:val="24"/>
        </w:rPr>
        <w:t xml:space="preserve">Food preparation and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Cracked dishes and utensils shall not be used in the preparation, serving, or storage of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Storage areas for perishable foods shall be kept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Storage areas for frozen foods shall be kept at zero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Food that is to be served hot shall be maintained at 140 degrees Fahrenheit or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Food that is to be served cold shall be maintained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kitchen and food storage areas shall be kept clean and neat. Foods shall not be stored on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floor and walls shall be of smooth construction and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114.3(3)</w:t>
      </w:r>
      <w:r>
        <w:rPr>
          <w:rFonts w:ascii="Times New Roman" w:hAnsi="Times New Roman"/>
          <w:b w:val="false"/>
          <w:i w:val="false"/>
          <w:color w:val="000000"/>
          <w:sz w:val="24"/>
        </w:rPr>
        <w:t> </w:t>
      </w:r>
      <w:r>
        <w:rPr>
          <w:rFonts w:ascii="Times New Roman" w:hAnsi="Times New Roman"/>
          <w:b w:val="false"/>
          <w:i/>
          <w:color w:val="000000"/>
          <w:sz w:val="24"/>
        </w:rPr>
        <w:t xml:space="preserve">Personnel handling food. </w:t>
      </w:r>
      <w:r>
        <w:rPr>
          <w:rFonts w:ascii="Times New Roman" w:hAnsi="Times New Roman"/>
          <w:b w:val="false"/>
          <w:i w:val="false"/>
          <w:color w:val="000000"/>
          <w:sz w:val="24"/>
        </w:rPr>
        <w:t>Personnel who handle food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free of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clean and neatly groomed.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Wear clean clothes.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Not use tobacco in any form while preparing or serving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114.3(4)</w:t>
      </w:r>
      <w:r>
        <w:rPr>
          <w:rFonts w:ascii="Times New Roman" w:hAnsi="Times New Roman"/>
          <w:b w:val="false"/>
          <w:i w:val="false"/>
          <w:color w:val="000000"/>
          <w:sz w:val="24"/>
        </w:rPr>
        <w:t> </w:t>
      </w:r>
      <w:r>
        <w:rPr>
          <w:rFonts w:ascii="Times New Roman" w:hAnsi="Times New Roman"/>
          <w:b w:val="false"/>
          <w:i/>
          <w:color w:val="000000"/>
          <w:sz w:val="24"/>
        </w:rPr>
        <w:t xml:space="preserve">Dishwashing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Manual dishwashing will be allowed in facilities that normally serve 15 or less people at one meal.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Commercial dishwashers shall be used in facilities serving more than 15 people at one meal, and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chemicals are added for sanitation purposes, they shall be automatically dispensed.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Machines using hot water for sanitizing must maintain wash water at least 150 degrees Fahrenheit and rinse water at a temperature of at least 180 degrees Fahrenheit or a single temperature machine at 165 degrees Fahrenheit for both wash and rinse.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machines shall be thoroughly cleaned and sanitized at least once each day or more often if necessary to maintain satisfactory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Soiled and clean dish table areas shall be of adequate size to accommodate the dishes for one meal.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hand-held food preparation and serving equipment shall be cleaned and sanitized following each meal. Dispensers, urns, and similar equipment shall be cleaned and sanitized daily.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114.3(5)</w:t>
      </w:r>
      <w:r>
        <w:rPr>
          <w:rFonts w:ascii="Times New Roman" w:hAnsi="Times New Roman"/>
          <w:b w:val="false"/>
          <w:i w:val="false"/>
          <w:color w:val="000000"/>
          <w:sz w:val="24"/>
        </w:rPr>
        <w:t> </w:t>
      </w:r>
      <w:r>
        <w:rPr>
          <w:rFonts w:ascii="Times New Roman" w:hAnsi="Times New Roman"/>
          <w:b w:val="false"/>
          <w:i/>
          <w:color w:val="000000"/>
          <w:sz w:val="24"/>
        </w:rPr>
        <w:t xml:space="preserve">Foods not prepared at site of serving.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place where food is prepared for off-site serving shall conform with all requirements for on-site food preparation.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Food shall be transported in covered containers or completely wrapped or packaged so as to be protected from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During transportation, and until served, hot foods shall be maintained at 140 degrees Fahrenheit or above and cold food maintained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114.3(6)</w:t>
      </w:r>
      <w:r>
        <w:rPr>
          <w:rFonts w:ascii="Times New Roman" w:hAnsi="Times New Roman"/>
          <w:b w:val="false"/>
          <w:i w:val="false"/>
          <w:color w:val="000000"/>
          <w:sz w:val="24"/>
        </w:rPr>
        <w:t> </w:t>
      </w:r>
      <w:r>
        <w:rPr>
          <w:rFonts w:ascii="Times New Roman" w:hAnsi="Times New Roman"/>
          <w:b w:val="false"/>
          <w:i/>
          <w:color w:val="000000"/>
          <w:sz w:val="24"/>
        </w:rPr>
        <w:t xml:space="preserve">Milk supply. </w:t>
      </w:r>
      <w:r>
        <w:rPr>
          <w:rFonts w:ascii="Times New Roman" w:hAnsi="Times New Roman"/>
          <w:b w:val="false"/>
          <w:i w:val="false"/>
          <w:color w:val="000000"/>
          <w:sz w:val="24"/>
        </w:rPr>
        <w:t>Milk shall be pasteurized Grade 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114.3(7)</w:t>
      </w:r>
      <w:r>
        <w:rPr>
          <w:rFonts w:ascii="Times New Roman" w:hAnsi="Times New Roman"/>
          <w:b w:val="false"/>
          <w:i w:val="false"/>
          <w:color w:val="000000"/>
          <w:sz w:val="24"/>
        </w:rPr>
        <w:t> </w:t>
      </w:r>
      <w:r>
        <w:rPr>
          <w:rFonts w:ascii="Times New Roman" w:hAnsi="Times New Roman"/>
          <w:b w:val="false"/>
          <w:i/>
          <w:color w:val="000000"/>
          <w:sz w:val="24"/>
        </w:rPr>
        <w:t xml:space="preserve">Public water supply. </w:t>
      </w:r>
      <w:r>
        <w:rPr>
          <w:rFonts w:ascii="Times New Roman" w:hAnsi="Times New Roman"/>
          <w:b w:val="false"/>
          <w:i w:val="false"/>
          <w:color w:val="000000"/>
          <w:sz w:val="24"/>
        </w:rPr>
        <w:t>The water supply is approved when the water is obtained from a public water supply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114.3(8)</w:t>
      </w:r>
      <w:r>
        <w:rPr>
          <w:rFonts w:ascii="Times New Roman" w:hAnsi="Times New Roman"/>
          <w:b w:val="false"/>
          <w:i w:val="false"/>
          <w:color w:val="000000"/>
          <w:sz w:val="24"/>
        </w:rPr>
        <w:t> </w:t>
      </w:r>
      <w:r>
        <w:rPr>
          <w:rFonts w:ascii="Times New Roman" w:hAnsi="Times New Roman"/>
          <w:b w:val="false"/>
          <w:i/>
          <w:color w:val="000000"/>
          <w:sz w:val="24"/>
        </w:rPr>
        <w:t xml:space="preserve">Private water supplies. </w:t>
      </w:r>
      <w:r>
        <w:rPr>
          <w:rFonts w:ascii="Times New Roman" w:hAnsi="Times New Roman"/>
          <w:b w:val="false"/>
          <w:i w:val="false"/>
          <w:color w:val="000000"/>
          <w:sz w:val="24"/>
        </w:rPr>
        <w:t>Any facility that serves at least 25 people for at least 60 days during the year and is supplied by its own well meets the definition of a public water supply and must be regulated by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Maintenance and operation. </w:t>
      </w:r>
      <w:r>
        <w:rPr>
          <w:rFonts w:ascii="Times New Roman" w:hAnsi="Times New Roman"/>
          <w:b w:val="false"/>
          <w:i w:val="false"/>
          <w:color w:val="000000"/>
          <w:sz w:val="24"/>
        </w:rPr>
        <w:t>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Evaluation and water testing. </w:t>
      </w:r>
      <w:r>
        <w:rPr>
          <w:rFonts w:ascii="Times New Roman" w:hAnsi="Times New Roman"/>
          <w:b w:val="false"/>
          <w:i w:val="false"/>
          <w:color w:val="000000"/>
          <w:sz w:val="24"/>
        </w:rPr>
        <w:t>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of natural resources within 72 hours of receipt by the water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Multiple wells supplying water. </w:t>
      </w:r>
      <w:r>
        <w:rPr>
          <w:rFonts w:ascii="Times New Roman" w:hAnsi="Times New Roman"/>
          <w:b w:val="false"/>
          <w:i w:val="false"/>
          <w:color w:val="000000"/>
          <w:sz w:val="24"/>
        </w:rPr>
        <w:t>When the water supply obtains water from more than one well, each well connected to the water distribution system shall meet all the requirements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Deficiencies. </w:t>
      </w:r>
      <w:r>
        <w:rPr>
          <w:rFonts w:ascii="Times New Roman" w:hAnsi="Times New Roman"/>
          <w:b w:val="false"/>
          <w:i w:val="false"/>
          <w:color w:val="000000"/>
          <w:sz w:val="24"/>
        </w:rPr>
        <w:t>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When water is proven unsafe. </w:t>
      </w:r>
      <w:r>
        <w:rPr>
          <w:rFonts w:ascii="Times New Roman" w:hAnsi="Times New Roman"/>
          <w:b w:val="false"/>
          <w:i w:val="false"/>
          <w:color w:val="000000"/>
          <w:sz w:val="24"/>
        </w:rPr>
        <w:t>When the water supply is proven unsafe by sampling and analysis, the facility shall immediately provide a known source of safe drinking water for all water users and hang notification at each point of water use disclosing the water is unsafe for drinking water uses.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from any water test analysis report that indicates the water supply is unsafe for drinking water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Alternative water sources. </w:t>
      </w:r>
      <w:r>
        <w:rPr>
          <w:rFonts w:ascii="Times New Roman" w:hAnsi="Times New Roman"/>
          <w:b w:val="false"/>
          <w:i w:val="false"/>
          <w:color w:val="000000"/>
          <w:sz w:val="24"/>
        </w:rPr>
        <w:t>Water obtained from another source through hauling and storage must meet the requirements of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114.3(9)</w:t>
      </w:r>
      <w:r>
        <w:rPr>
          <w:rFonts w:ascii="Times New Roman" w:hAnsi="Times New Roman"/>
          <w:b w:val="false"/>
          <w:i w:val="false"/>
          <w:color w:val="000000"/>
          <w:sz w:val="24"/>
        </w:rPr>
        <w:t> </w:t>
      </w:r>
      <w:r>
        <w:rPr>
          <w:rFonts w:ascii="Times New Roman" w:hAnsi="Times New Roman"/>
          <w:b w:val="false"/>
          <w:i/>
          <w:color w:val="000000"/>
          <w:sz w:val="24"/>
        </w:rPr>
        <w:t xml:space="preserve">Heating or storage of hot water. </w:t>
      </w:r>
      <w:r>
        <w:rPr>
          <w:rFonts w:ascii="Times New Roman" w:hAnsi="Times New Roman"/>
          <w:b w:val="false"/>
          <w:i w:val="false"/>
          <w:color w:val="000000"/>
          <w:sz w:val="24"/>
        </w:rPr>
        <w:t>Each tank used for the heating or storage of hot water shall be provided with a pressure and temperature relief valve.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114.3(10)</w:t>
      </w:r>
      <w:r>
        <w:rPr>
          <w:rFonts w:ascii="Times New Roman" w:hAnsi="Times New Roman"/>
          <w:b w:val="false"/>
          <w:i w:val="false"/>
          <w:color w:val="000000"/>
          <w:sz w:val="24"/>
        </w:rPr>
        <w:t> </w:t>
      </w:r>
      <w:r>
        <w:rPr>
          <w:rFonts w:ascii="Times New Roman" w:hAnsi="Times New Roman"/>
          <w:b w:val="false"/>
          <w:i/>
          <w:color w:val="000000"/>
          <w:sz w:val="24"/>
        </w:rPr>
        <w:t xml:space="preserve">Sewage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Facilities shall be connected to public sewer systems where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114.3(11)</w:t>
      </w:r>
      <w:r>
        <w:rPr>
          <w:rFonts w:ascii="Times New Roman" w:hAnsi="Times New Roman"/>
          <w:b w:val="false"/>
          <w:i w:val="false"/>
          <w:color w:val="000000"/>
          <w:sz w:val="24"/>
        </w:rPr>
        <w:t> </w:t>
      </w:r>
      <w:r>
        <w:rPr>
          <w:rFonts w:ascii="Times New Roman" w:hAnsi="Times New Roman"/>
          <w:b w:val="false"/>
          <w:i/>
          <w:color w:val="000000"/>
          <w:sz w:val="24"/>
        </w:rPr>
        <w:t xml:space="preserve">Garbage storage and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sufficient number of garbage and rubbish containers shall be provided to properly store all material between collections.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Containers shall be leakproof, rodent proof, and shall be maintained in a sanitary condition.</w:t>
      </w:r>
    </w:p>
    <w:p>
      <w:pPr>
        <w:spacing w:before="0" w:after="0" w:line="480"/>
        <w:ind w:left="120"/>
        <w:jc w:val="both"/>
      </w:pPr>
      <w:r>
        <w:rPr>
          <w:rFonts w:ascii="Times New Roman" w:hAnsi="Times New Roman"/>
          <w:b/>
          <w:i w:val="false"/>
          <w:color w:val="000000"/>
          <w:sz w:val="24"/>
        </w:rPr>
        <w:t>441—114.4</w:t>
      </w:r>
      <w:r>
        <w:rPr>
          <w:rFonts w:ascii="Times New Roman" w:hAnsi="Times New Roman"/>
          <w:b/>
          <w:i w:val="false"/>
          <w:color w:val="000000"/>
          <w:sz w:val="24"/>
        </w:rPr>
        <w:t xml:space="preserve">(237)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Facilities shall take sufficient measures to ensure the safety of the children in care in all of their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114.4(2)</w:t>
      </w:r>
      <w:r>
        <w:rPr>
          <w:rFonts w:ascii="Times New Roman" w:hAnsi="Times New Roman"/>
          <w:b w:val="false"/>
          <w:i w:val="false"/>
          <w:color w:val="000000"/>
          <w:sz w:val="24"/>
        </w:rPr>
        <w:t> </w:t>
      </w:r>
      <w:r>
        <w:rPr>
          <w:rFonts w:ascii="Times New Roman" w:hAnsi="Times New Roman"/>
          <w:b w:val="false"/>
          <w:i/>
          <w:color w:val="000000"/>
          <w:sz w:val="24"/>
        </w:rPr>
        <w:t xml:space="preserve">Premises.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Stairways, halls and aisles shall be of substantial nonslippery material, shall be maintained in a good state of repair, shall be adequately lighted and shall be kept free from obstructions at all times. All stairways shall have handrails.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Radiators, registers, and steam and hot water pipes shall have protective covering or insulation.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Electrical outlets and switches shall have wall plates. Fuse boxes and circuit breakers shall be inaccessible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Facilities shall have written procedures for the handling and storage of hazardous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Firearms and ammunition shall be kept under lock and key and inaccessible to children. When firearms are used, the facility shall have written policies regarding their purpose, use, and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swimming pools shall conform to state and local health and safety regulations. Adult supervision shall be provided at all times when children are using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facility shall have policies regarding fishing ponds, lakes, or any bodies of water located on or near the facility grounds and accessible to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114.4(3)</w:t>
      </w:r>
      <w:r>
        <w:rPr>
          <w:rFonts w:ascii="Times New Roman" w:hAnsi="Times New Roman"/>
          <w:b w:val="false"/>
          <w:i w:val="false"/>
          <w:color w:val="000000"/>
          <w:sz w:val="24"/>
        </w:rPr>
        <w:t> </w:t>
      </w:r>
      <w:r>
        <w:rPr>
          <w:rFonts w:ascii="Times New Roman" w:hAnsi="Times New Roman"/>
          <w:b w:val="false"/>
          <w:i/>
          <w:color w:val="000000"/>
          <w:sz w:val="24"/>
        </w:rPr>
        <w:t xml:space="preserve">Emergency evacuation and safety procedures. </w:t>
      </w:r>
      <w:r>
        <w:rPr>
          <w:rFonts w:ascii="Times New Roman" w:hAnsi="Times New Roman"/>
          <w:b w:val="false"/>
          <w:i w:val="false"/>
          <w:color w:val="000000"/>
          <w:sz w:val="24"/>
        </w:rPr>
        <w:t>Upon admission, all children shall receive instruction regarding evacuation and safety procedures. All living units utilized by children shall have a posted plan for evacuation and safety procedures regarding severe weather events, fire or other natural or man-made disasters. Practice fire drills shall be held monthly, and severe weather drills shall be held twice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114.4(4)</w:t>
      </w:r>
      <w:r>
        <w:rPr>
          <w:rFonts w:ascii="Times New Roman" w:hAnsi="Times New Roman"/>
          <w:b w:val="false"/>
          <w:i w:val="false"/>
          <w:color w:val="000000"/>
          <w:sz w:val="24"/>
        </w:rPr>
        <w:t> </w:t>
      </w:r>
      <w:r>
        <w:rPr>
          <w:rFonts w:ascii="Times New Roman" w:hAnsi="Times New Roman"/>
          <w:b w:val="false"/>
          <w:i/>
          <w:color w:val="000000"/>
          <w:sz w:val="24"/>
        </w:rPr>
        <w:t xml:space="preserve">Fire inspection. </w:t>
      </w:r>
      <w:r>
        <w:rPr>
          <w:rFonts w:ascii="Times New Roman" w:hAnsi="Times New Roman"/>
          <w:b w:val="false"/>
          <w:i w:val="false"/>
          <w:color w:val="000000"/>
          <w:sz w:val="24"/>
        </w:rPr>
        <w:t>Each facility shall procure an annual fire inspection approved by the state fire marshal and shall meet the recommendations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114.4(5)</w:t>
      </w:r>
      <w:r>
        <w:rPr>
          <w:rFonts w:ascii="Times New Roman" w:hAnsi="Times New Roman"/>
          <w:b w:val="false"/>
          <w:i w:val="false"/>
          <w:color w:val="000000"/>
          <w:sz w:val="24"/>
        </w:rPr>
        <w:t> </w:t>
      </w:r>
      <w:r>
        <w:rPr>
          <w:rFonts w:ascii="Times New Roman" w:hAnsi="Times New Roman"/>
          <w:b w:val="false"/>
          <w:i/>
          <w:color w:val="000000"/>
          <w:sz w:val="24"/>
        </w:rPr>
        <w:t xml:space="preserve">Local codes. </w:t>
      </w:r>
      <w:r>
        <w:rPr>
          <w:rFonts w:ascii="Times New Roman" w:hAnsi="Times New Roman"/>
          <w:b w:val="false"/>
          <w:i w:val="false"/>
          <w:color w:val="000000"/>
          <w:sz w:val="24"/>
        </w:rPr>
        <w:t>Each facility shall meet local building, zoning, sanitation and fire safety ordinances. Where no local standards exist, state standards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114.4(6)</w:t>
      </w:r>
      <w:r>
        <w:rPr>
          <w:rFonts w:ascii="Times New Roman" w:hAnsi="Times New Roman"/>
          <w:b w:val="false"/>
          <w:i w:val="false"/>
          <w:color w:val="000000"/>
          <w:sz w:val="24"/>
        </w:rPr>
        <w:t> </w:t>
      </w:r>
      <w:r>
        <w:rPr>
          <w:rFonts w:ascii="Times New Roman" w:hAnsi="Times New Roman"/>
          <w:b w:val="false"/>
          <w:i/>
          <w:color w:val="000000"/>
          <w:sz w:val="24"/>
        </w:rPr>
        <w:t xml:space="preserve">Safety, protection, and well-being of children in care. </w:t>
      </w:r>
      <w:r>
        <w:rPr>
          <w:rFonts w:ascii="Times New Roman" w:hAnsi="Times New Roman"/>
          <w:b w:val="false"/>
          <w:i w:val="false"/>
          <w:color w:val="000000"/>
          <w:sz w:val="24"/>
        </w:rPr>
        <w:t>Facilities shall develop and follow written policies and procedures that assure the safety, protection, and well-being of children in care. Policies shall address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Supportive leadership of the facility that promotes protecting each child from abuse or bullying from other children and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Defining the facility’s culture to reduce the use of unnecessary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Clear definitions of unsafe behavior and the emergency situations when it is appropriate to use physical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Staff training and development that give staff confidence they are supported by leadership with proper supervision and ongoing access to information about best practices and evidence-based approaches to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Adequate supervision of children while the children are using any hazardous or dangerous objects or equipment and when children are using the Internet or other social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social and developmental needs of children in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Providing personal care items to children in care. Personal care items must be provided to the children in care and must reflect the individual needs of the youth living in the facility and participating in the facility’s programs.</w:t>
      </w:r>
    </w:p>
    <w:p>
      <w:pPr>
        <w:spacing w:before="0" w:after="0" w:line="480"/>
        <w:ind w:left="120"/>
        <w:jc w:val="both"/>
      </w:pPr>
      <w:r>
        <w:rPr>
          <w:rFonts w:ascii="Times New Roman" w:hAnsi="Times New Roman"/>
          <w:b/>
          <w:i w:val="false"/>
          <w:color w:val="000000"/>
          <w:sz w:val="24"/>
        </w:rPr>
        <w:t>441—114.5</w:t>
      </w:r>
      <w:r>
        <w:rPr>
          <w:rFonts w:ascii="Times New Roman" w:hAnsi="Times New Roman"/>
          <w:b/>
          <w:i w:val="false"/>
          <w:color w:val="000000"/>
          <w:sz w:val="24"/>
        </w:rPr>
        <w:t xml:space="preserve">(237) </w:t>
      </w:r>
      <w:r>
        <w:rPr>
          <w:rFonts w:ascii="Times New Roman" w:hAnsi="Times New Roman"/>
          <w:b/>
          <w:i w:val="false"/>
          <w:color w:val="000000"/>
          <w:sz w:val="24"/>
        </w:rPr>
        <w:t xml:space="preserve">Organization and administration. </w:t>
      </w:r>
      <w:r>
        <w:rPr>
          <w:rFonts w:ascii="Times New Roman" w:hAnsi="Times New Roman"/>
          <w:b w:val="false"/>
          <w:i w:val="false"/>
          <w:color w:val="000000"/>
          <w:sz w:val="24"/>
        </w:rPr>
        <w:t>Any change in the name of the facility, the address of the facility, the executive, or the capacity shall be reported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114.5(1)</w:t>
      </w:r>
      <w:r>
        <w:rPr>
          <w:rFonts w:ascii="Times New Roman" w:hAnsi="Times New Roman"/>
          <w:b w:val="false"/>
          <w:i w:val="false"/>
          <w:color w:val="000000"/>
          <w:sz w:val="24"/>
        </w:rPr>
        <w:t> </w:t>
      </w:r>
      <w:r>
        <w:rPr>
          <w:rFonts w:ascii="Times New Roman" w:hAnsi="Times New Roman"/>
          <w:b w:val="false"/>
          <w:i/>
          <w:color w:val="000000"/>
          <w:sz w:val="24"/>
        </w:rPr>
        <w:t xml:space="preserve">Table of organization. </w:t>
      </w:r>
      <w:r>
        <w:rPr>
          <w:rFonts w:ascii="Times New Roman" w:hAnsi="Times New Roman"/>
          <w:b w:val="false"/>
          <w:i w:val="false"/>
          <w:color w:val="000000"/>
          <w:sz w:val="24"/>
        </w:rPr>
        <w:t>A table of organization including the identification of lines of responsibility and authority from policymaking to service to clients shall be available to the licensing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114.5(2)</w:t>
      </w:r>
      <w:r>
        <w:rPr>
          <w:rFonts w:ascii="Times New Roman" w:hAnsi="Times New Roman"/>
          <w:b w:val="false"/>
          <w:i w:val="false"/>
          <w:color w:val="000000"/>
          <w:sz w:val="24"/>
        </w:rPr>
        <w:t> </w:t>
      </w:r>
      <w:r>
        <w:rPr>
          <w:rFonts w:ascii="Times New Roman" w:hAnsi="Times New Roman"/>
          <w:b w:val="false"/>
          <w:i/>
          <w:color w:val="000000"/>
          <w:sz w:val="24"/>
        </w:rPr>
        <w:t xml:space="preserve">Purpose of agency or facility. </w:t>
      </w:r>
      <w:r>
        <w:rPr>
          <w:rFonts w:ascii="Times New Roman" w:hAnsi="Times New Roman"/>
          <w:b w:val="false"/>
          <w:i w:val="false"/>
          <w:color w:val="000000"/>
          <w:sz w:val="24"/>
        </w:rPr>
        <w:t>The purpose or function of the organization shall be clearly defined in writing and shall include a description of the children to be accepted for care and the services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114.5(3)</w:t>
      </w:r>
      <w:r>
        <w:rPr>
          <w:rFonts w:ascii="Times New Roman" w:hAnsi="Times New Roman"/>
          <w:b w:val="false"/>
          <w:i w:val="false"/>
          <w:color w:val="000000"/>
          <w:sz w:val="24"/>
        </w:rPr>
        <w:t> </w:t>
      </w:r>
      <w:r>
        <w:rPr>
          <w:rFonts w:ascii="Times New Roman" w:hAnsi="Times New Roman"/>
          <w:b w:val="false"/>
          <w:i/>
          <w:color w:val="000000"/>
          <w:sz w:val="24"/>
        </w:rPr>
        <w:t xml:space="preserve">Governing bodies or individuals. </w:t>
      </w:r>
      <w:r>
        <w:rPr>
          <w:rFonts w:ascii="Times New Roman" w:hAnsi="Times New Roman"/>
          <w:b w:val="false"/>
          <w:i w:val="false"/>
          <w:color w:val="000000"/>
          <w:sz w:val="24"/>
        </w:rPr>
        <w:t>All group living foster care facilities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governing board or individuals who are accountable for and have authority over the policies and activities of the organization. In the case of an organization owned by a proprietor or partnership, the proprietor or partner shall be regarded as the governing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the department with a list of names, addresses, telephone numbers and titles of the members of the governing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adequate insurance covering fire and liability as a protection to children in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organizations located outside Iowa, have duly authorized representatives with decision-making abilities designated within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114.5(4)</w:t>
      </w:r>
      <w:r>
        <w:rPr>
          <w:rFonts w:ascii="Times New Roman" w:hAnsi="Times New Roman"/>
          <w:b w:val="false"/>
          <w:i w:val="false"/>
          <w:color w:val="000000"/>
          <w:sz w:val="24"/>
        </w:rPr>
        <w:t> </w:t>
      </w:r>
      <w:r>
        <w:rPr>
          <w:rFonts w:ascii="Times New Roman" w:hAnsi="Times New Roman"/>
          <w:b w:val="false"/>
          <w:i/>
          <w:color w:val="000000"/>
          <w:sz w:val="24"/>
        </w:rPr>
        <w:t xml:space="preserve">Executive director. </w:t>
      </w:r>
      <w:r>
        <w:rPr>
          <w:rFonts w:ascii="Times New Roman" w:hAnsi="Times New Roman"/>
          <w:b w:val="false"/>
          <w:i w:val="false"/>
          <w:color w:val="000000"/>
          <w:sz w:val="24"/>
        </w:rPr>
        <w:t>The governing body or proprietor or partner(s) shall select and appoint an executive director with full administrative responsibility and qualifications for carrying out the policies, procedures and programs established by the governing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114.5(5)</w:t>
      </w:r>
      <w:r>
        <w:rPr>
          <w:rFonts w:ascii="Times New Roman" w:hAnsi="Times New Roman"/>
          <w:b w:val="false"/>
          <w:i w:val="false"/>
          <w:color w:val="000000"/>
          <w:sz w:val="24"/>
        </w:rPr>
        <w:t> </w:t>
      </w:r>
      <w:r>
        <w:rPr>
          <w:rFonts w:ascii="Times New Roman" w:hAnsi="Times New Roman"/>
          <w:b w:val="false"/>
          <w:i/>
          <w:color w:val="000000"/>
          <w:sz w:val="24"/>
        </w:rPr>
        <w:t xml:space="preserve">Financial solvency of facilities. </w:t>
      </w:r>
      <w:r>
        <w:rPr>
          <w:rFonts w:ascii="Times New Roman" w:hAnsi="Times New Roman"/>
          <w:b w:val="false"/>
          <w:i w:val="false"/>
          <w:color w:val="000000"/>
          <w:sz w:val="24"/>
        </w:rPr>
        <w:t>Profit and nonprofit institutions shall maintain financial solvency to ensure adequate care of children and youth for whom responsibility is assumed. The facility shall have sufficient financial resources, predictable income, or both, and not be totally dependent upon current fees, for a three-month operating period. The facility shall have written policies and procedures describing the program of the facility and specifying how it will be carried out.</w:t>
      </w:r>
    </w:p>
    <w:p>
      <w:pPr>
        <w:spacing w:before="0" w:after="0" w:line="480"/>
        <w:ind w:left="120"/>
        <w:jc w:val="both"/>
      </w:pPr>
      <w:r>
        <w:rPr>
          <w:rFonts w:ascii="Times New Roman" w:hAnsi="Times New Roman"/>
          <w:b/>
          <w:i w:val="false"/>
          <w:color w:val="000000"/>
          <w:sz w:val="24"/>
        </w:rPr>
        <w:t>441—114.6</w:t>
      </w:r>
      <w:r>
        <w:rPr>
          <w:rFonts w:ascii="Times New Roman" w:hAnsi="Times New Roman"/>
          <w:b/>
          <w:i w:val="false"/>
          <w:color w:val="000000"/>
          <w:sz w:val="24"/>
        </w:rPr>
        <w:t xml:space="preserve">(237) </w:t>
      </w:r>
      <w:r>
        <w:rPr>
          <w:rFonts w:ascii="Times New Roman" w:hAnsi="Times New Roman"/>
          <w:b/>
          <w:i w:val="false"/>
          <w:color w:val="000000"/>
          <w:sz w:val="24"/>
        </w:rPr>
        <w:t xml:space="preserve">Policies and record-keeping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114.6(1)</w:t>
      </w:r>
      <w:r>
        <w:rPr>
          <w:rFonts w:ascii="Times New Roman" w:hAnsi="Times New Roman"/>
          <w:b w:val="false"/>
          <w:i w:val="false"/>
          <w:color w:val="000000"/>
          <w:sz w:val="24"/>
        </w:rPr>
        <w:t> </w:t>
      </w:r>
      <w:r>
        <w:rPr>
          <w:rFonts w:ascii="Times New Roman" w:hAnsi="Times New Roman"/>
          <w:b w:val="false"/>
          <w:i/>
          <w:color w:val="000000"/>
          <w:sz w:val="24"/>
        </w:rPr>
        <w:t xml:space="preserve">Policies in writing. </w:t>
      </w:r>
      <w:r>
        <w:rPr>
          <w:rFonts w:ascii="Times New Roman" w:hAnsi="Times New Roman"/>
          <w:b w:val="false"/>
          <w:i w:val="false"/>
          <w:color w:val="000000"/>
          <w:sz w:val="24"/>
        </w:rPr>
        <w:t>The following current personnel policies and practices of the agency and relating to the specific facility shall be described in writing and accessible to staff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 policies and procedures covering the hiring, assignment, and promotion of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Job descriptions for all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Provisions for vacations, holidays, and sick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Effective, time-limited grievance procedures allowing the aggrieved party to bring the grievance to at least one level above that party’s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Authorized procedures, consistent with due process, for the suspension and dismissal of an employee for just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Written procedures for annual employee evaluations.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114.6(2)</w:t>
      </w:r>
      <w:r>
        <w:rPr>
          <w:rFonts w:ascii="Times New Roman" w:hAnsi="Times New Roman"/>
          <w:b w:val="false"/>
          <w:i w:val="false"/>
          <w:color w:val="000000"/>
          <w:sz w:val="24"/>
        </w:rPr>
        <w:t> </w:t>
      </w:r>
      <w:r>
        <w:rPr>
          <w:rFonts w:ascii="Times New Roman" w:hAnsi="Times New Roman"/>
          <w:b w:val="false"/>
          <w:i/>
          <w:color w:val="000000"/>
          <w:sz w:val="24"/>
        </w:rPr>
        <w:t xml:space="preserve">Health of staff. </w:t>
      </w:r>
      <w:r>
        <w:rPr>
          <w:rFonts w:ascii="Times New Roman" w:hAnsi="Times New Roman"/>
          <w:b w:val="false"/>
          <w:i w:val="false"/>
          <w:color w:val="000000"/>
          <w:sz w:val="24"/>
        </w:rPr>
        <w:t>Each staff person who has direct client contact or is involved in food preparation shall be tested for tuberculosis and have a physical examination within six months prior to hiring unless the staff can produce valid documentation of the physical and tuberculosis test from within the previous three years. Physical examinations shall be completed every three years from the date of current physical on file. Evidence of these examinations or tests shall be included in each personnel file. The examinations or tests shall be completed by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as defined in Iowa Code section </w:t>
      </w:r>
      <w:hyperlink r:id="rId13">
        <w:r>
          <w:rPr>
            <w:rStyle w:val="Hyperlink"/>
            <w:rFonts w:ascii="Times New Roman" w:hAnsi="Times New Roman"/>
            <w:b w:val="false"/>
            <w:i w:val="false"/>
            <w:color w:val="000000"/>
            <w:sz w:val="24"/>
          </w:rPr>
          <w:t>135.1(4)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advanced registered nurse practitioner who is registered with and certified by the Iowa board of nursing to practice nursing in an advanced role;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associate licensed under Iowa Code chapter </w:t>
      </w:r>
      <w:hyperlink r:id="rId14">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114.6(3)</w:t>
      </w:r>
      <w:r>
        <w:rPr>
          <w:rFonts w:ascii="Times New Roman" w:hAnsi="Times New Roman"/>
          <w:b w:val="false"/>
          <w:i w:val="false"/>
          <w:color w:val="000000"/>
          <w:sz w:val="24"/>
        </w:rPr>
        <w:t> </w:t>
      </w:r>
      <w:r>
        <w:rPr>
          <w:rFonts w:ascii="Times New Roman" w:hAnsi="Times New Roman"/>
          <w:b w:val="false"/>
          <w:i/>
          <w:color w:val="000000"/>
          <w:sz w:val="24"/>
        </w:rPr>
        <w:t xml:space="preserve">Staff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maintain the following information with respect to each staff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and current address of each staff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least two written references or documentation of oral references. In case of unfavorable references, there shall be documentation of further checking to ensure that the person will be reliable.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all record checks and evaluations as required in subrule </w:t>
      </w:r>
      <w:hyperlink r:id="rId15">
        <w:r>
          <w:rPr>
            <w:rStyle w:val="Hyperlink"/>
            <w:rFonts w:ascii="Times New Roman" w:hAnsi="Times New Roman"/>
            <w:b w:val="false"/>
            <w:i w:val="false"/>
            <w:color w:val="000000"/>
            <w:sz w:val="24"/>
          </w:rPr>
          <w:t>114.23(1)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written, signed and dated statement furnished by the staff person prior to providing any care or services to or on behalf of the facility which discloses any founded reports of child abuse on the person that may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Records of a physical examination or a record of a health report, plus a written record of subsequent health services rendered to staff necessary to ensure that each individual is physically able to perform the job duties or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Records of training sessions attended, including dates and content of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When otherwise required in situations that apply, a copy of a school transcript, diploma, or written statement from the school or supervising agency for positions having educational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addition, with respect to staff who are employed by the facility, the facility shall maintain the following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Social security number of each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job application containing sufficient information to justify the initial and current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a school transcript, diploma, or written statement from the school or supervising agency before permanent employment of applicants for positions having educational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Written verification of licensure before permanent employment of applicants for positions requiring licenses. Evidence of renewal of licenses as required by the licensing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Current information relative to work performance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Information on written reprimands or commendations.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on position in the agency and date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If the applicant, probationary employee or temporary employee has completed and submitted the Record Check Evaluation form, a copy of the Record Check Evaluation form.</w:t>
      </w:r>
    </w:p>
    <w:p>
      <w:pPr>
        <w:spacing w:before="0" w:after="0" w:line="480"/>
        <w:ind w:left="120"/>
        <w:jc w:val="both"/>
      </w:pPr>
      <w:r>
        <w:rPr>
          <w:rFonts w:ascii="Times New Roman" w:hAnsi="Times New Roman"/>
          <w:b/>
          <w:i w:val="false"/>
          <w:color w:val="000000"/>
          <w:sz w:val="24"/>
        </w:rPr>
        <w:t>441—114.7</w:t>
      </w:r>
      <w:r>
        <w:rPr>
          <w:rFonts w:ascii="Times New Roman" w:hAnsi="Times New Roman"/>
          <w:b/>
          <w:i w:val="false"/>
          <w:color w:val="000000"/>
          <w:sz w:val="24"/>
        </w:rPr>
        <w:t xml:space="preserve">(237) </w:t>
      </w:r>
      <w:r>
        <w:rPr>
          <w:rFonts w:ascii="Times New Roman" w:hAnsi="Times New Roman"/>
          <w:b/>
          <w:i w:val="false"/>
          <w:color w:val="000000"/>
          <w:sz w:val="24"/>
        </w:rPr>
        <w:t xml:space="preserve">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of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caseworker shall meet one of the following minimum education and experience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 four-year college or university with a bachelor’s degree in a human services field related to social work, psychology or a related behavioral science.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Graduation from a four-year college or university with a bachelor’s degree in education and the equivalent of one year of full-time experience in social work or in the delivery of human services in a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Six years of supervised child welfare experience in residential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combination of advanced education in the behavioral sciences and experience equal to six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casework supervisor shall have either a master’s degree in social work with one year of supervised experience after the master’s degree or a master’s degree in psychology or counseling with two years of experience beyond the master’s degree, one of which was under supervision. The experience shall be in the area of child welfare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 care workers shall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licensed facility having persons in employment in positions prior to 2023 for which present rules require higher qualifications will be considered to meet the requirements of present staff. Any staff who were hired after 2023 will need to meet the requirements of these rules as stated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person who has a record of a criminal conviction or founded child or dependent adult abuse report shall not be employed unless an evaluation of the crime or founded child or dependent adult abuse has been made by the department that concludes that the crime or founded child or dependent adult abuse does not merit prohibition of employment. If a record of criminal conviction or founded child or dependent adult abuse exists, the person shall be offered the opportunity to complete and submit the Record Check Evaluation form. In its evaluation, the department will consider the nature and seriousness of the crime or founded child or dependent adult abuse in relation to the position sought, the time elapsed since the commission of the crime or founded child or dependent adult abuse, the circumstances under which the crime or founded child or dependent adult abuse was committed, the degree of rehabilitation, the likelihood that the person will commit a crime or founded child or dependent adult abuse again, and the number of crimes or founded child or dependent adult abuses committed by the person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114.7(2)</w:t>
      </w:r>
      <w:r>
        <w:rPr>
          <w:rFonts w:ascii="Times New Roman" w:hAnsi="Times New Roman"/>
          <w:b w:val="false"/>
          <w:i w:val="false"/>
          <w:color w:val="000000"/>
          <w:sz w:val="24"/>
        </w:rPr>
        <w:t> </w:t>
      </w:r>
      <w:r>
        <w:rPr>
          <w:rFonts w:ascii="Times New Roman" w:hAnsi="Times New Roman"/>
          <w:b w:val="false"/>
          <w:i/>
          <w:color w:val="000000"/>
          <w:sz w:val="24"/>
        </w:rPr>
        <w:t xml:space="preserve">Number of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Children shall be provided with 24-hour awake supervision. There shall be at least one awake and readily accessible staff person on duty for each occupied living unit. The staff person shall make regular visual checks at least every hour throughout the night. A log shall be kept of all checks, including the time of the check and any significant observations. Policies for nighttime checks shall be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facility shall have the services of a casework supervisor and a caseworker adequate to fulfill the staff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an on-call system operational 24 hours a day to provide supervisory consultation. There shall be a written plan documenting this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and qualifications of the staff will vary depending on the needs of the children. There shall be at least a one-to-eight staff-to-client ratio during all times children are awake and present in the facility and during supervised outings.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114.7(3)</w:t>
      </w:r>
      <w:r>
        <w:rPr>
          <w:rFonts w:ascii="Times New Roman" w:hAnsi="Times New Roman"/>
          <w:b w:val="false"/>
          <w:i w:val="false"/>
          <w:color w:val="000000"/>
          <w:sz w:val="24"/>
        </w:rPr>
        <w:t> </w:t>
      </w:r>
      <w:r>
        <w:rPr>
          <w:rFonts w:ascii="Times New Roman" w:hAnsi="Times New Roman"/>
          <w:b w:val="false"/>
          <w:i/>
          <w:color w:val="000000"/>
          <w:sz w:val="24"/>
        </w:rPr>
        <w:t xml:space="preserve">Staff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casework supervisor shall provide in-person case specific supervision at the site of the facility for one hour per month per caseworker and be available for consultation in case of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Caseworkers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 a service plan for each child containing goals and objectives with projected dates of accomplishment and shall involve the client, referral agency, and family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Develop a specific plan relating to the involvement of a child’s parents or guardians unless documented by the caseworker that the child’s parents’ or guardians’ involvement would be counterproductive.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staff shall be responsible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Documenting case reassessments quarterly, involving staff in the same role as previously involved in service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Documenting the implementation of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Scheduling in-person conferences with each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Providing a supportive atmosphere for each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Coordinating internal and external activities of each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Providing for liaison with the referring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Providing leadership and guidance to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Providing a mechanism for dealing with day-to-day program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Being responsible for overseeing and maintaining general health and well-being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Supervising the living activities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Monitoring and recording behavior on a daily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At all times, knowing where the children are and where they are supposed to be to assure ongoing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114.7(4)</w:t>
      </w:r>
      <w:r>
        <w:rPr>
          <w:rFonts w:ascii="Times New Roman" w:hAnsi="Times New Roman"/>
          <w:b w:val="false"/>
          <w:i w:val="false"/>
          <w:color w:val="000000"/>
          <w:sz w:val="24"/>
        </w:rPr>
        <w:t> </w:t>
      </w:r>
      <w:r>
        <w:rPr>
          <w:rFonts w:ascii="Times New Roman" w:hAnsi="Times New Roman"/>
          <w:b w:val="false"/>
          <w:i/>
          <w:color w:val="000000"/>
          <w:sz w:val="24"/>
        </w:rPr>
        <w:t xml:space="preserve">Staff development. </w:t>
      </w:r>
      <w:r>
        <w:rPr>
          <w:rFonts w:ascii="Times New Roman" w:hAnsi="Times New Roman"/>
          <w:b w:val="false"/>
          <w:i w:val="false"/>
          <w:color w:val="000000"/>
          <w:sz w:val="24"/>
        </w:rPr>
        <w:t>Staff development shall be appropriate to the size and nature of the facility. There shall be a written format for staff training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Orientation for all new employees to acquaint them with the philosophy, organization, program practices, and goals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Training of new employees in areas related to their job assignments.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Provisions for all staff members to improve their competency. This may be accomplished through such means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Attending staff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Attending seminars, conferences, workshops and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Visiting other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Access to consultants.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Access to current information and evidence-based practices relevant to the facility’s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individual designated responsible for staff development and training, who will complete a written staff development plan which shall be updated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114.7(5)</w:t>
      </w:r>
      <w:r>
        <w:rPr>
          <w:rFonts w:ascii="Times New Roman" w:hAnsi="Times New Roman"/>
          <w:b w:val="false"/>
          <w:i w:val="false"/>
          <w:color w:val="000000"/>
          <w:sz w:val="24"/>
        </w:rPr>
        <w:t> </w:t>
      </w:r>
      <w:r>
        <w:rPr>
          <w:rFonts w:ascii="Times New Roman" w:hAnsi="Times New Roman"/>
          <w:b w:val="false"/>
          <w:i/>
          <w:color w:val="000000"/>
          <w:sz w:val="24"/>
        </w:rPr>
        <w:t xml:space="preserve">Volunteers. </w:t>
      </w:r>
      <w:r>
        <w:rPr>
          <w:rFonts w:ascii="Times New Roman" w:hAnsi="Times New Roman"/>
          <w:b w:val="false"/>
          <w:i w:val="false"/>
          <w:color w:val="000000"/>
          <w:sz w:val="24"/>
        </w:rPr>
        <w:t>A facility that utilizes volunteers to work directly with a particular child or group of children shall have a written plan for using volunteers. This plan shall be given to all volunteers. The plan shall indicate that all volunteers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directly supervised by a paid staff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oriented and trained in the philosophy of the facility and the needs of children in care, and methods of meeting those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subject to reference and record check requirements.</w:t>
      </w:r>
    </w:p>
    <w:p>
      <w:pPr>
        <w:spacing w:before="0" w:after="0" w:line="480"/>
        <w:ind w:left="120"/>
        <w:jc w:val="both"/>
      </w:pPr>
      <w:r>
        <w:rPr>
          <w:rFonts w:ascii="Times New Roman" w:hAnsi="Times New Roman"/>
          <w:b/>
          <w:i w:val="false"/>
          <w:color w:val="000000"/>
          <w:sz w:val="24"/>
        </w:rPr>
        <w:t>441—114.8</w:t>
      </w:r>
      <w:r>
        <w:rPr>
          <w:rFonts w:ascii="Times New Roman" w:hAnsi="Times New Roman"/>
          <w:b/>
          <w:i w:val="false"/>
          <w:color w:val="000000"/>
          <w:sz w:val="24"/>
        </w:rPr>
        <w:t xml:space="preserve">(237) </w:t>
      </w:r>
      <w:r>
        <w:rPr>
          <w:rFonts w:ascii="Times New Roman" w:hAnsi="Times New Roman"/>
          <w:b/>
          <w:i w:val="false"/>
          <w:color w:val="000000"/>
          <w:sz w:val="24"/>
        </w:rPr>
        <w:t xml:space="preserve">Intake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114.8(1)</w:t>
      </w:r>
      <w:r>
        <w:rPr>
          <w:rFonts w:ascii="Times New Roman" w:hAnsi="Times New Roman"/>
          <w:b w:val="false"/>
          <w:i w:val="false"/>
          <w:color w:val="000000"/>
          <w:sz w:val="24"/>
        </w:rPr>
        <w:t> </w:t>
      </w:r>
      <w:r>
        <w:rPr>
          <w:rFonts w:ascii="Times New Roman" w:hAnsi="Times New Roman"/>
          <w:b w:val="false"/>
          <w:i/>
          <w:color w:val="000000"/>
          <w:sz w:val="24"/>
        </w:rPr>
        <w:t xml:space="preserve">Intake policies. </w:t>
      </w:r>
      <w:r>
        <w:rPr>
          <w:rFonts w:ascii="Times New Roman" w:hAnsi="Times New Roman"/>
          <w:b w:val="false"/>
          <w:i w:val="false"/>
          <w:color w:val="000000"/>
          <w:sz w:val="24"/>
        </w:rPr>
        <w:t>The agency shall have written intake policies specific to the licensed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114.8(2)</w:t>
      </w:r>
      <w:r>
        <w:rPr>
          <w:rFonts w:ascii="Times New Roman" w:hAnsi="Times New Roman"/>
          <w:b w:val="false"/>
          <w:i w:val="false"/>
          <w:color w:val="000000"/>
          <w:sz w:val="24"/>
        </w:rPr>
        <w:t> </w:t>
      </w:r>
      <w:r>
        <w:rPr>
          <w:rFonts w:ascii="Times New Roman" w:hAnsi="Times New Roman"/>
          <w:b w:val="false"/>
          <w:i/>
          <w:color w:val="000000"/>
          <w:sz w:val="24"/>
        </w:rPr>
        <w:t xml:space="preserve">Basis of acceptance. </w:t>
      </w:r>
      <w:r>
        <w:rPr>
          <w:rFonts w:ascii="Times New Roman" w:hAnsi="Times New Roman"/>
          <w:b w:val="false"/>
          <w:i w:val="false"/>
          <w:color w:val="000000"/>
          <w:sz w:val="24"/>
        </w:rPr>
        <w:t>Children shall be accepted for care only after the following criteria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assessment of the child’s need for service and supervision has been agreed upon by the staff of the facility and the referring agency worker. The child, the child’s family, legal guardian, and any other significant people shall be invited to participate in this process to the fullest extent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assessment indicates that the child requires the care offered by this type of facility and is likely to benefit from the program the facility offers.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114.8(3)</w:t>
      </w:r>
      <w:r>
        <w:rPr>
          <w:rFonts w:ascii="Times New Roman" w:hAnsi="Times New Roman"/>
          <w:b w:val="false"/>
          <w:i w:val="false"/>
          <w:color w:val="000000"/>
          <w:sz w:val="24"/>
        </w:rPr>
        <w:t> </w:t>
      </w:r>
      <w:r>
        <w:rPr>
          <w:rFonts w:ascii="Times New Roman" w:hAnsi="Times New Roman"/>
          <w:b w:val="false"/>
          <w:i/>
          <w:color w:val="000000"/>
          <w:sz w:val="24"/>
        </w:rPr>
        <w:t xml:space="preserve">Referral information. </w:t>
      </w:r>
      <w:r>
        <w:rPr>
          <w:rFonts w:ascii="Times New Roman" w:hAnsi="Times New Roman"/>
          <w:b w:val="false"/>
          <w:i w:val="false"/>
          <w:color w:val="000000"/>
          <w:sz w:val="24"/>
        </w:rPr>
        <w:t>The following information shall be made available by the referral worker prior to any decision being made regarding the acceptance of a child. The following information shall be requested by the facility if not yet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current 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child’s physical assessment including immunization history completed within one year prior to application, when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indicated, or when available, psychological testing completed no more than one year prior to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Current educational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indicated or available, a psychiatric report completed no more than one year prior to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Referring agency’s case plan that includes goals and objectives to be achieved during placement with a time frame for the achievement of these goals and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of the legal status of the child that includes any court orders or statements of custody and guardianship.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114.8(4)</w:t>
      </w:r>
      <w:r>
        <w:rPr>
          <w:rFonts w:ascii="Times New Roman" w:hAnsi="Times New Roman"/>
          <w:b w:val="false"/>
          <w:i w:val="false"/>
          <w:color w:val="000000"/>
          <w:sz w:val="24"/>
        </w:rPr>
        <w:t> </w:t>
      </w:r>
      <w:r>
        <w:rPr>
          <w:rFonts w:ascii="Times New Roman" w:hAnsi="Times New Roman"/>
          <w:b w:val="false"/>
          <w:i/>
          <w:color w:val="000000"/>
          <w:sz w:val="24"/>
        </w:rPr>
        <w:t xml:space="preserve">Admission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items shall be secured upon admission of the child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placement agreement for the child signed by the person having legal responsibility for the child and the agency where the child is being placed. When this is not available at the time of placement, it shall be furnished within 48 hours of placement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Emergency medical authorization from the court, the parents, the guardian, or custodian.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items shall be provided to the child, the child’s family or guardian, and the referring worker at the time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Written policies regarding children’s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policies regarding religion, work or vocational experiences, family involvement, and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114.8(5)</w:t>
      </w:r>
      <w:r>
        <w:rPr>
          <w:rFonts w:ascii="Times New Roman" w:hAnsi="Times New Roman"/>
          <w:b w:val="false"/>
          <w:i w:val="false"/>
          <w:color w:val="000000"/>
          <w:sz w:val="24"/>
        </w:rPr>
        <w:t> </w:t>
      </w:r>
      <w:r>
        <w:rPr>
          <w:rFonts w:ascii="Times New Roman" w:hAnsi="Times New Roman"/>
          <w:b w:val="false"/>
          <w:i/>
          <w:color w:val="000000"/>
          <w:sz w:val="24"/>
        </w:rPr>
        <w:t xml:space="preserve">Personal assessment. </w:t>
      </w:r>
      <w:r>
        <w:rPr>
          <w:rFonts w:ascii="Times New Roman" w:hAnsi="Times New Roman"/>
          <w:b w:val="false"/>
          <w:i w:val="false"/>
          <w:color w:val="000000"/>
          <w:sz w:val="24"/>
        </w:rPr>
        <w:t>At the time of intake, individual needs will be identified by staff based on written and verbal information from referral sources, observable behavior at intake and the initial interview with youth or family, school contacts, physical examinations, and other relevant material. The individual assessment shall provide the basis for development of a service plan for each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114.8(6)</w:t>
      </w:r>
      <w:r>
        <w:rPr>
          <w:rFonts w:ascii="Times New Roman" w:hAnsi="Times New Roman"/>
          <w:b w:val="false"/>
          <w:i w:val="false"/>
          <w:color w:val="000000"/>
          <w:sz w:val="24"/>
        </w:rPr>
        <w:t> </w:t>
      </w:r>
      <w:r>
        <w:rPr>
          <w:rFonts w:ascii="Times New Roman" w:hAnsi="Times New Roman"/>
          <w:b w:val="false"/>
          <w:i/>
          <w:color w:val="000000"/>
          <w:sz w:val="24"/>
        </w:rPr>
        <w:t xml:space="preserve">Educational assessment. </w:t>
      </w:r>
      <w:r>
        <w:rPr>
          <w:rFonts w:ascii="Times New Roman" w:hAnsi="Times New Roman"/>
          <w:b w:val="false"/>
          <w:i w:val="false"/>
          <w:color w:val="000000"/>
          <w:sz w:val="24"/>
        </w:rPr>
        <w:t>A plan for the child’s educational needs shall be developed by the staff and the referring worker. Involvement of the parents or guardian, area education agency, and public schools may be included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114.8(7)</w:t>
      </w:r>
      <w:r>
        <w:rPr>
          <w:rFonts w:ascii="Times New Roman" w:hAnsi="Times New Roman"/>
          <w:b w:val="false"/>
          <w:i w:val="false"/>
          <w:color w:val="000000"/>
          <w:sz w:val="24"/>
        </w:rPr>
        <w:t> </w:t>
      </w:r>
      <w:r>
        <w:rPr>
          <w:rFonts w:ascii="Times New Roman" w:hAnsi="Times New Roman"/>
          <w:b w:val="false"/>
          <w:i/>
          <w:color w:val="000000"/>
          <w:sz w:val="24"/>
        </w:rPr>
        <w:t xml:space="preserve">Person responsible. </w:t>
      </w:r>
      <w:r>
        <w:rPr>
          <w:rFonts w:ascii="Times New Roman" w:hAnsi="Times New Roman"/>
          <w:b w:val="false"/>
          <w:i w:val="false"/>
          <w:color w:val="000000"/>
          <w:sz w:val="24"/>
        </w:rPr>
        <w:t>Each agency shall designate a person or persons who have the authority to do intake.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114.8(8)</w:t>
      </w:r>
      <w:r>
        <w:rPr>
          <w:rFonts w:ascii="Times New Roman" w:hAnsi="Times New Roman"/>
          <w:b w:val="false"/>
          <w:i w:val="false"/>
          <w:color w:val="000000"/>
          <w:sz w:val="24"/>
        </w:rPr>
        <w:t> </w:t>
      </w:r>
      <w:r>
        <w:rPr>
          <w:rFonts w:ascii="Times New Roman" w:hAnsi="Times New Roman"/>
          <w:b w:val="false"/>
          <w:i/>
          <w:color w:val="000000"/>
          <w:sz w:val="24"/>
        </w:rPr>
        <w:t xml:space="preserve">Intake sheet. </w:t>
      </w:r>
      <w:r>
        <w:rPr>
          <w:rFonts w:ascii="Times New Roman" w:hAnsi="Times New Roman"/>
          <w:b w:val="false"/>
          <w:i w:val="false"/>
          <w:color w:val="000000"/>
          <w:sz w:val="24"/>
        </w:rPr>
        <w:t xml:space="preserve">An intake sheet shall be completed on each child containing, at a minimum, the information specified in subrule </w:t>
      </w:r>
      <w:hyperlink r:id="rId16">
        <w:r>
          <w:rPr>
            <w:rStyle w:val="Hyperlink"/>
            <w:rFonts w:ascii="Times New Roman" w:hAnsi="Times New Roman"/>
            <w:b w:val="false"/>
            <w:i w:val="false"/>
            <w:color w:val="000000"/>
            <w:sz w:val="24"/>
          </w:rPr>
          <w:t>114.10(1)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441—114.9</w:t>
      </w:r>
      <w:r>
        <w:rPr>
          <w:rFonts w:ascii="Times New Roman" w:hAnsi="Times New Roman"/>
          <w:b/>
          <w:i w:val="false"/>
          <w:color w:val="000000"/>
          <w:sz w:val="24"/>
        </w:rPr>
        <w:t xml:space="preserve">(237) </w:t>
      </w:r>
      <w:r>
        <w:rPr>
          <w:rFonts w:ascii="Times New Roman" w:hAnsi="Times New Roman"/>
          <w:b/>
          <w:i w:val="false"/>
          <w:color w:val="000000"/>
          <w:sz w:val="24"/>
        </w:rPr>
        <w:t xml:space="preserve">Program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114.9(1)</w:t>
      </w:r>
      <w:r>
        <w:rPr>
          <w:rFonts w:ascii="Times New Roman" w:hAnsi="Times New Roman"/>
          <w:b w:val="false"/>
          <w:i w:val="false"/>
          <w:color w:val="000000"/>
          <w:sz w:val="24"/>
        </w:rPr>
        <w:t> </w:t>
      </w:r>
      <w:r>
        <w:rPr>
          <w:rFonts w:ascii="Times New Roman" w:hAnsi="Times New Roman"/>
          <w:b w:val="false"/>
          <w:i/>
          <w:color w:val="000000"/>
          <w:sz w:val="24"/>
        </w:rPr>
        <w:t xml:space="preserve">Evaluation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evaluation services are provided by staff of the facility, the services shall be clearly defined so that referral sources are clear about the components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Evaluations shall be based on behavioral observations, social history, educational assessments and shall include an assessment of vocational needs, recreational skills, and physical therapy, speech, language, vision and hearing needs to assist in planning and placement for the child. The need for providing all of these evaluative services will be determined on the basis of the specific child being referred.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114.9(2)</w:t>
      </w: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There shall be a written service plan for each child. The service plan shall be based on the individual needs determined through the assessment of each resident, provide for consultation with the family, and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Identification of special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Description of planned services including measurable goals and objectives which indicate which staff person will be responsible for the specific services in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Indication of where the services are to occur and note the frequency of activities 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114.9(3)</w:t>
      </w:r>
      <w:r>
        <w:rPr>
          <w:rFonts w:ascii="Times New Roman" w:hAnsi="Times New Roman"/>
          <w:b w:val="false"/>
          <w:i w:val="false"/>
          <w:color w:val="000000"/>
          <w:sz w:val="24"/>
        </w:rPr>
        <w:t> </w:t>
      </w:r>
      <w:r>
        <w:rPr>
          <w:rFonts w:ascii="Times New Roman" w:hAnsi="Times New Roman"/>
          <w:b w:val="false"/>
          <w:i/>
          <w:color w:val="000000"/>
          <w:sz w:val="24"/>
        </w:rPr>
        <w:t xml:space="preserve">Daily routine. </w:t>
      </w:r>
      <w:r>
        <w:rPr>
          <w:rFonts w:ascii="Times New Roman" w:hAnsi="Times New Roman"/>
          <w:b w:val="false"/>
          <w:i w:val="false"/>
          <w:color w:val="000000"/>
          <w:sz w:val="24"/>
        </w:rPr>
        <w:t>Each facility shall provide a daily routine for the children in residence that is directed toward developing healthful habits in eating, sleeping, exercising, personal care, hygiene, and grooming according to the needs of the individual child and the living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114.9(4)</w:t>
      </w:r>
      <w:r>
        <w:rPr>
          <w:rFonts w:ascii="Times New Roman" w:hAnsi="Times New Roman"/>
          <w:b w:val="false"/>
          <w:i w:val="false"/>
          <w:color w:val="000000"/>
          <w:sz w:val="24"/>
        </w:rPr>
        <w:t> </w:t>
      </w:r>
      <w:r>
        <w:rPr>
          <w:rFonts w:ascii="Times New Roman" w:hAnsi="Times New Roman"/>
          <w:b w:val="false"/>
          <w:i/>
          <w:color w:val="000000"/>
          <w:sz w:val="24"/>
        </w:rPr>
        <w:t xml:space="preserve">Daily log. </w:t>
      </w:r>
      <w:r>
        <w:rPr>
          <w:rFonts w:ascii="Times New Roman" w:hAnsi="Times New Roman"/>
          <w:b w:val="false"/>
          <w:i w:val="false"/>
          <w:color w:val="000000"/>
          <w:sz w:val="24"/>
        </w:rPr>
        <w:t>The facility shall maintain a daily log to generally record noteworthy occurrences regarding the children in care. Problem areas or unusual behavior for specific children shall be recorded in individual children’s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114.9(5)</w:t>
      </w:r>
      <w:r>
        <w:rPr>
          <w:rFonts w:ascii="Times New Roman" w:hAnsi="Times New Roman"/>
          <w:b w:val="false"/>
          <w:i w:val="false"/>
          <w:color w:val="000000"/>
          <w:sz w:val="24"/>
        </w:rPr>
        <w:t> </w:t>
      </w:r>
      <w:r>
        <w:rPr>
          <w:rFonts w:ascii="Times New Roman" w:hAnsi="Times New Roman"/>
          <w:b w:val="false"/>
          <w:i/>
          <w:color w:val="000000"/>
          <w:sz w:val="24"/>
        </w:rPr>
        <w:t xml:space="preserve">Educational services. </w:t>
      </w:r>
      <w:r>
        <w:rPr>
          <w:rFonts w:ascii="Times New Roman" w:hAnsi="Times New Roman"/>
          <w:b w:val="false"/>
          <w:i w:val="false"/>
          <w:color w:val="000000"/>
          <w:sz w:val="24"/>
        </w:rPr>
        <w:t>An educational program shall be available for each child in accordance with abilities and needs. The educational and teaching standards established by the state department of education shall be met when an educational program is provided within an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114.9(6)</w:t>
      </w:r>
      <w:r>
        <w:rPr>
          <w:rFonts w:ascii="Times New Roman" w:hAnsi="Times New Roman"/>
          <w:b w:val="false"/>
          <w:i w:val="false"/>
          <w:color w:val="000000"/>
          <w:sz w:val="24"/>
        </w:rPr>
        <w:t> </w:t>
      </w:r>
      <w:r>
        <w:rPr>
          <w:rFonts w:ascii="Times New Roman" w:hAnsi="Times New Roman"/>
          <w:b w:val="false"/>
          <w:i/>
          <w:color w:val="000000"/>
          <w:sz w:val="24"/>
        </w:rPr>
        <w:t xml:space="preserve">Health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shall be 24-hour emergency and routine medical and dental services available and provided when prescribed. Provisions for these services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shall arrange a physical assessment including vision and hearing tests for each child in care within one week of admission unless the child has received an examination within the past year and the results of this examination are available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facility shall not require medical treatment when the parent(s) or guardian of the child or the child objects to treatment on the grounds that it conflicts with the tenets and practices of a recognized church or religious denomination of which the parent(s), guardian or child is an adherent. In potentially life-threatening situations, the facility shall refer the child’s care to appropriate medical and legal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facility shall have and staff shall follow written procedures in case of a medical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facility shall schedule a dental examination for each child within 14 days of admission unless the child has been examined within six months prior to admission and the facility has the results of that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facility shall provide or secure medical treatment for a child’s illnesses and injuries that come to the facility’s attention during the child’s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114.9(7)</w:t>
      </w:r>
      <w:r>
        <w:rPr>
          <w:rFonts w:ascii="Times New Roman" w:hAnsi="Times New Roman"/>
          <w:b w:val="false"/>
          <w:i w:val="false"/>
          <w:color w:val="000000"/>
          <w:sz w:val="24"/>
        </w:rPr>
        <w:t> </w:t>
      </w:r>
      <w:r>
        <w:rPr>
          <w:rFonts w:ascii="Times New Roman" w:hAnsi="Times New Roman"/>
          <w:b w:val="false"/>
          <w:i/>
          <w:color w:val="000000"/>
          <w:sz w:val="24"/>
        </w:rPr>
        <w:t xml:space="preserve">Dietary program. </w:t>
      </w:r>
      <w:r>
        <w:rPr>
          <w:rFonts w:ascii="Times New Roman" w:hAnsi="Times New Roman"/>
          <w:b w:val="false"/>
          <w:i w:val="false"/>
          <w:color w:val="000000"/>
          <w:sz w:val="24"/>
        </w:rPr>
        <w:t>The facility shall provide properly planned, nutritious and inviting food and take into consideration the dietary and documented health needs of children. The facility shall follow all dietary recommendations prescribed by medical personnel or a dietitian licensed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114.9(8)</w:t>
      </w:r>
      <w:r>
        <w:rPr>
          <w:rFonts w:ascii="Times New Roman" w:hAnsi="Times New Roman"/>
          <w:b w:val="false"/>
          <w:i w:val="false"/>
          <w:color w:val="000000"/>
          <w:sz w:val="24"/>
        </w:rPr>
        <w:t> </w:t>
      </w:r>
      <w:r>
        <w:rPr>
          <w:rFonts w:ascii="Times New Roman" w:hAnsi="Times New Roman"/>
          <w:b w:val="false"/>
          <w:i/>
          <w:color w:val="000000"/>
          <w:sz w:val="24"/>
        </w:rPr>
        <w:t xml:space="preserve">Recreation and leisure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provide adequately designed and maintained indoor and outdoor activity areas, equipment, and equipment storage facilities appropriate for the residents it serves. There shall be a variety of activity areas and equipment so that all children can be active participants in different types of individual and group sports and other motor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Games, toys, equipment, and arts and crafts material shall be selected according to the ages and number of children with consideration to the needs of the children to engage in active and quiet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shall plan and carry out efforts to establish and maintain workable relationships with community recreational resources so these resources may provide opportunities for children to participate in community recreational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114.9(9)</w:t>
      </w:r>
      <w:r>
        <w:rPr>
          <w:rFonts w:ascii="Times New Roman" w:hAnsi="Times New Roman"/>
          <w:b w:val="false"/>
          <w:i w:val="false"/>
          <w:color w:val="000000"/>
          <w:sz w:val="24"/>
        </w:rPr>
        <w:t> </w:t>
      </w:r>
      <w:r>
        <w:rPr>
          <w:rFonts w:ascii="Times New Roman" w:hAnsi="Times New Roman"/>
          <w:b w:val="false"/>
          <w:i/>
          <w:color w:val="000000"/>
          <w:sz w:val="24"/>
        </w:rPr>
        <w:t xml:space="preserve">Casework services. </w:t>
      </w:r>
      <w:r>
        <w:rPr>
          <w:rFonts w:ascii="Times New Roman" w:hAnsi="Times New Roman"/>
          <w:b w:val="false"/>
          <w:i w:val="false"/>
          <w:color w:val="000000"/>
          <w:sz w:val="24"/>
        </w:rPr>
        <w:t>A facility shall provide or obtain casework services in the form of counseling in accordance with the needs of each child’s individual service plan. Casework services include crisis intervention, daily living skills, interpersonal relationships, future planning and preparation for placement as required by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114.9(10)</w:t>
      </w:r>
      <w:r>
        <w:rPr>
          <w:rFonts w:ascii="Times New Roman" w:hAnsi="Times New Roman"/>
          <w:b w:val="false"/>
          <w:i w:val="false"/>
          <w:color w:val="000000"/>
          <w:sz w:val="24"/>
        </w:rPr>
        <w:t> </w:t>
      </w:r>
      <w:r>
        <w:rPr>
          <w:rFonts w:ascii="Times New Roman" w:hAnsi="Times New Roman"/>
          <w:b w:val="false"/>
          <w:i/>
          <w:color w:val="000000"/>
          <w:sz w:val="24"/>
        </w:rPr>
        <w:t xml:space="preserve">Optional psychiatric and psychological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diagnostic evaluation of a child indicates need for care by a psychiatrist and under psychiatric guidance, the specialized treatment or consultation shall be provided or arranged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Psychologists, whose services are used on behalf of children, shall be licensed as a psychologist in the state of Iowa or be certified by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114.9(11)</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Licensed group living foster care facilities that apply the reasonable and prudent parent standard reasonably and in good faith in regard to a child in foster care shall have immunity from civil or criminal liability that might otherwise be incurred or imposed. This subrule shall not remove or limit any existing liability protection afforded under any other law.</w:t>
      </w:r>
    </w:p>
    <w:p>
      <w:pPr>
        <w:spacing w:before="0" w:after="0" w:line="480"/>
        <w:ind w:left="120"/>
        <w:jc w:val="both"/>
      </w:pPr>
      <w:r>
        <w:rPr>
          <w:rFonts w:ascii="Times New Roman" w:hAnsi="Times New Roman"/>
          <w:b/>
          <w:i w:val="false"/>
          <w:color w:val="000000"/>
          <w:sz w:val="24"/>
        </w:rPr>
        <w:t>441—114.10</w:t>
      </w:r>
      <w:r>
        <w:rPr>
          <w:rFonts w:ascii="Times New Roman" w:hAnsi="Times New Roman"/>
          <w:b/>
          <w:i w:val="false"/>
          <w:color w:val="000000"/>
          <w:sz w:val="24"/>
        </w:rPr>
        <w:t xml:space="preserve">(237) </w:t>
      </w:r>
      <w:r>
        <w:rPr>
          <w:rFonts w:ascii="Times New Roman" w:hAnsi="Times New Roman"/>
          <w:b/>
          <w:i w:val="false"/>
          <w:color w:val="000000"/>
          <w:sz w:val="24"/>
        </w:rPr>
        <w:t xml:space="preserve">Case files. </w:t>
      </w:r>
      <w:r>
        <w:rPr>
          <w:rFonts w:ascii="Times New Roman" w:hAnsi="Times New Roman"/>
          <w:b w:val="false"/>
          <w:i w:val="false"/>
          <w:color w:val="000000"/>
          <w:sz w:val="24"/>
        </w:rPr>
        <w:t>All facilities shall establish and maintain case files on each child. The case files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114.10(1)</w:t>
      </w:r>
      <w:r>
        <w:rPr>
          <w:rFonts w:ascii="Times New Roman" w:hAnsi="Times New Roman"/>
          <w:b w:val="false"/>
          <w:i w:val="false"/>
          <w:color w:val="000000"/>
          <w:sz w:val="24"/>
        </w:rPr>
        <w:t> </w:t>
      </w:r>
      <w:r>
        <w:rPr>
          <w:rFonts w:ascii="Times New Roman" w:hAnsi="Times New Roman"/>
          <w:b w:val="false"/>
          <w:i/>
          <w:color w:val="000000"/>
          <w:sz w:val="24"/>
        </w:rPr>
        <w:t xml:space="preserve">Face sheet. </w:t>
      </w:r>
      <w:r>
        <w:rPr>
          <w:rFonts w:ascii="Times New Roman" w:hAnsi="Times New Roman"/>
          <w:b w:val="false"/>
          <w:i w:val="false"/>
          <w:color w:val="000000"/>
          <w:sz w:val="24"/>
        </w:rPr>
        <w:t>The face sheet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Full name, birth place and 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Parents’ full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Parents’ address and telephone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Religious preference of parents and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Statement of who has legal custody and guardianship.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of the referring worker and agency making the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Telephone number and address of the agency or court making the referral and contact information of the child’s attorney or guardian ad litem.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114.10(2)</w:t>
      </w:r>
      <w:r>
        <w:rPr>
          <w:rFonts w:ascii="Times New Roman" w:hAnsi="Times New Roman"/>
          <w:b w:val="false"/>
          <w:i w:val="false"/>
          <w:color w:val="000000"/>
          <w:sz w:val="24"/>
        </w:rPr>
        <w:t> </w:t>
      </w:r>
      <w:r>
        <w:rPr>
          <w:rFonts w:ascii="Times New Roman" w:hAnsi="Times New Roman"/>
          <w:b w:val="false"/>
          <w:i/>
          <w:color w:val="000000"/>
          <w:sz w:val="24"/>
        </w:rPr>
        <w:t xml:space="preserve">Referral packet. </w:t>
      </w:r>
      <w:r>
        <w:rPr>
          <w:rFonts w:ascii="Times New Roman" w:hAnsi="Times New Roman"/>
          <w:b w:val="false"/>
          <w:i w:val="false"/>
          <w:color w:val="000000"/>
          <w:sz w:val="24"/>
        </w:rPr>
        <w:t>All of the information required in the referral packet shall be contained in the case record including a social history on the child, a copy of the child’s physical assessment and immunization history, psychological testing, when available, current educational information, psychiatric report, when available, and the referring agency’s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114.10(3)</w:t>
      </w:r>
      <w:r>
        <w:rPr>
          <w:rFonts w:ascii="Times New Roman" w:hAnsi="Times New Roman"/>
          <w:b w:val="false"/>
          <w:i w:val="false"/>
          <w:color w:val="000000"/>
          <w:sz w:val="24"/>
        </w:rPr>
        <w:t> </w:t>
      </w:r>
      <w:r>
        <w:rPr>
          <w:rFonts w:ascii="Times New Roman" w:hAnsi="Times New Roman"/>
          <w:b w:val="false"/>
          <w:i/>
          <w:color w:val="000000"/>
          <w:sz w:val="24"/>
        </w:rPr>
        <w:t xml:space="preserve">Legal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Placement agreement signed by parent(s) or custodian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Petitions and orders of the court regarding adjudication, custody, or guardianship.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114.10(4)</w:t>
      </w:r>
      <w:r>
        <w:rPr>
          <w:rFonts w:ascii="Times New Roman" w:hAnsi="Times New Roman"/>
          <w:b w:val="false"/>
          <w:i w:val="false"/>
          <w:color w:val="000000"/>
          <w:sz w:val="24"/>
        </w:rPr>
        <w:t> </w:t>
      </w:r>
      <w:r>
        <w:rPr>
          <w:rFonts w:ascii="Times New Roman" w:hAnsi="Times New Roman"/>
          <w:b w:val="false"/>
          <w:i/>
          <w:color w:val="000000"/>
          <w:sz w:val="24"/>
        </w:rPr>
        <w:t xml:space="preserve">Psychiatric and psychological. </w:t>
      </w:r>
      <w:r>
        <w:rPr>
          <w:rFonts w:ascii="Times New Roman" w:hAnsi="Times New Roman"/>
          <w:b w:val="false"/>
          <w:i w:val="false"/>
          <w:color w:val="000000"/>
          <w:sz w:val="24"/>
        </w:rPr>
        <w:t>Psychiatric and psychological reports, when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114.10(5)</w:t>
      </w:r>
      <w:r>
        <w:rPr>
          <w:rFonts w:ascii="Times New Roman" w:hAnsi="Times New Roman"/>
          <w:b w:val="false"/>
          <w:i w:val="false"/>
          <w:color w:val="000000"/>
          <w:sz w:val="24"/>
        </w:rPr>
        <w:t> </w:t>
      </w:r>
      <w:r>
        <w:rPr>
          <w:rFonts w:ascii="Times New Roman" w:hAnsi="Times New Roman"/>
          <w:b w:val="false"/>
          <w:i/>
          <w:color w:val="000000"/>
          <w:sz w:val="24"/>
        </w:rPr>
        <w:t xml:space="preserve">Correspondence. </w:t>
      </w:r>
      <w:r>
        <w:rPr>
          <w:rFonts w:ascii="Times New Roman" w:hAnsi="Times New Roman"/>
          <w:b w:val="false"/>
          <w:i w:val="false"/>
          <w:color w:val="000000"/>
          <w:sz w:val="24"/>
        </w:rPr>
        <w:t>Correspondence regarding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114.10(6)</w:t>
      </w:r>
      <w:r>
        <w:rPr>
          <w:rFonts w:ascii="Times New Roman" w:hAnsi="Times New Roman"/>
          <w:b w:val="false"/>
          <w:i w:val="false"/>
          <w:color w:val="000000"/>
          <w:sz w:val="24"/>
        </w:rPr>
        <w:t> </w:t>
      </w:r>
      <w:r>
        <w:rPr>
          <w:rFonts w:ascii="Times New Roman" w:hAnsi="Times New Roman"/>
          <w:b w:val="false"/>
          <w:i/>
          <w:color w:val="000000"/>
          <w:sz w:val="24"/>
        </w:rPr>
        <w:t xml:space="preserve">Medical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and surgical authorizations signed by the parent(s), guardian, or contained in the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 of medical care received while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Information on past medical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114.10(7)</w:t>
      </w:r>
      <w:r>
        <w:rPr>
          <w:rFonts w:ascii="Times New Roman" w:hAnsi="Times New Roman"/>
          <w:b w:val="false"/>
          <w:i w:val="false"/>
          <w:color w:val="000000"/>
          <w:sz w:val="24"/>
        </w:rPr>
        <w:t> </w:t>
      </w:r>
      <w:r>
        <w:rPr>
          <w:rFonts w:ascii="Times New Roman" w:hAnsi="Times New Roman"/>
          <w:b w:val="false"/>
          <w:i/>
          <w:color w:val="000000"/>
          <w:sz w:val="24"/>
        </w:rPr>
        <w:t xml:space="preserve">School.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school currently 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Grade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specific educational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Remedial action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114.10(8)</w:t>
      </w: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The service plan shall be updated quarterly or any time upon receipt of a new case permanency plan or juvenile court services plan or as otherwise needed to address the changing needs of the child. Discharge summary completing the service plan information shall be completed upon a child’s discharge from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114.10(9)</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following information shall be documented in each child’s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Appropriate notes, all significant contacts with parents, referring worker and other collateral contracts, as well as staff counseling with child and notations on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summary related to discharge,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relationship of the person or agency to whom the child was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discharge summary (as included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Final disposition of a child’s medications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who transported the child, if different than in subparagraph </w:t>
      </w:r>
      <w:hyperlink r:id="rId17">
        <w:r>
          <w:rPr>
            <w:rStyle w:val="Hyperlink"/>
            <w:rFonts w:ascii="Times New Roman" w:hAnsi="Times New Roman"/>
            <w:b w:val="false"/>
            <w:i w:val="false"/>
            <w:color w:val="000000"/>
            <w:sz w:val="24"/>
          </w:rPr>
          <w:t>114.10(9)</w:t>
        </w:r>
      </w:hyperlink>
      <w:r>
        <w:rPr>
          <w:rFonts w:ascii="Times New Roman" w:hAnsi="Times New Roman"/>
          <w:b w:val="false"/>
          <w:i/>
          <w:color w:val="000000"/>
          <w:sz w:val="24"/>
        </w:rPr>
        <w:t>“b”</w:t>
      </w:r>
      <w:r>
        <w:rPr>
          <w:rFonts w:ascii="Times New Roman" w:hAnsi="Times New Roman"/>
          <w:b w:val="false"/>
          <w:i w:val="false"/>
          <w:color w:val="000000"/>
          <w:sz w:val="24"/>
        </w:rPr>
        <w:t>(1), and name of the facility or address of the destination after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114.10(10)</w:t>
      </w:r>
      <w:r>
        <w:rPr>
          <w:rFonts w:ascii="Times New Roman" w:hAnsi="Times New Roman"/>
          <w:b w:val="false"/>
          <w:i w:val="false"/>
          <w:color w:val="000000"/>
          <w:sz w:val="24"/>
        </w:rPr>
        <w:t> </w:t>
      </w:r>
      <w:r>
        <w:rPr>
          <w:rFonts w:ascii="Times New Roman" w:hAnsi="Times New Roman"/>
          <w:b w:val="false"/>
          <w:i/>
          <w:color w:val="000000"/>
          <w:sz w:val="24"/>
        </w:rPr>
        <w:t xml:space="preserve">Electronic records. </w:t>
      </w:r>
      <w:r>
        <w:rPr>
          <w:rFonts w:ascii="Times New Roman" w:hAnsi="Times New Roman"/>
          <w:b w:val="false"/>
          <w:i w:val="false"/>
          <w:color w:val="000000"/>
          <w:sz w:val="24"/>
        </w:rPr>
        <w:t>An authorized representative of the department shall be provided unrestricted access to electronic records pertaining to the care provided to the children who are served as a result of a contract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shall provide the authorized representative access to the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w:t>
      </w:r>
    </w:p>
    <w:p>
      <w:pPr>
        <w:spacing w:before="0" w:after="0" w:line="480"/>
        <w:ind w:left="120"/>
        <w:jc w:val="both"/>
      </w:pPr>
      <w:r>
        <w:rPr>
          <w:rFonts w:ascii="Times New Roman" w:hAnsi="Times New Roman"/>
          <w:b/>
          <w:i w:val="false"/>
          <w:color w:val="000000"/>
          <w:sz w:val="24"/>
        </w:rPr>
        <w:t>441—114.11</w:t>
      </w:r>
      <w:r>
        <w:rPr>
          <w:rFonts w:ascii="Times New Roman" w:hAnsi="Times New Roman"/>
          <w:b/>
          <w:i w:val="false"/>
          <w:color w:val="000000"/>
          <w:sz w:val="24"/>
        </w:rPr>
        <w:t xml:space="preserve">(237) </w:t>
      </w:r>
      <w:r>
        <w:rPr>
          <w:rFonts w:ascii="Times New Roman" w:hAnsi="Times New Roman"/>
          <w:b/>
          <w:i w:val="false"/>
          <w:color w:val="000000"/>
          <w:sz w:val="24"/>
        </w:rPr>
        <w:t xml:space="preserve">Drug utilization and control. </w:t>
      </w:r>
      <w:r>
        <w:rPr>
          <w:rFonts w:ascii="Times New Roman" w:hAnsi="Times New Roman"/>
          <w:b w:val="false"/>
          <w:i w:val="false"/>
          <w:color w:val="000000"/>
          <w:sz w:val="24"/>
        </w:rPr>
        <w:t>The agency shall have and follow written policies and procedures governing the methods of handling prescription drugs and over-the-counter drugs within the facility. No prescription or narcotic drugs are to be allowed in the facility without the authorization of a licensed physician or authorized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w:t>
      </w:r>
      <w:r>
        <w:rPr>
          <w:rFonts w:ascii="Times New Roman" w:hAnsi="Times New Roman"/>
          <w:b w:val="false"/>
          <w:i w:val="false"/>
          <w:color w:val="000000"/>
          <w:sz w:val="24"/>
        </w:rPr>
        <w:t> </w:t>
      </w:r>
      <w:r>
        <w:rPr>
          <w:rFonts w:ascii="Times New Roman" w:hAnsi="Times New Roman"/>
          <w:b w:val="false"/>
          <w:i/>
          <w:color w:val="000000"/>
          <w:sz w:val="24"/>
        </w:rPr>
        <w:t xml:space="preserve">Approved drugs. </w:t>
      </w:r>
      <w:r>
        <w:rPr>
          <w:rFonts w:ascii="Times New Roman" w:hAnsi="Times New Roman"/>
          <w:b w:val="false"/>
          <w:i w:val="false"/>
          <w:color w:val="000000"/>
          <w:sz w:val="24"/>
        </w:rPr>
        <w:t>Only drugs that have been approved by the federal Food and Drug Administration for use in the United States may be used. No experimental drugs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114.11(2)</w:t>
      </w:r>
      <w:r>
        <w:rPr>
          <w:rFonts w:ascii="Times New Roman" w:hAnsi="Times New Roman"/>
          <w:b w:val="false"/>
          <w:i w:val="false"/>
          <w:color w:val="000000"/>
          <w:sz w:val="24"/>
        </w:rPr>
        <w:t> </w:t>
      </w:r>
      <w:r>
        <w:rPr>
          <w:rFonts w:ascii="Times New Roman" w:hAnsi="Times New Roman"/>
          <w:b w:val="false"/>
          <w:i/>
          <w:color w:val="000000"/>
          <w:sz w:val="24"/>
        </w:rPr>
        <w:t xml:space="preserve">Prescribed by physician or other authorized prescriber. </w:t>
      </w:r>
      <w:r>
        <w:rPr>
          <w:rFonts w:ascii="Times New Roman" w:hAnsi="Times New Roman"/>
          <w:b w:val="false"/>
          <w:i w:val="false"/>
          <w:color w:val="000000"/>
          <w:sz w:val="24"/>
        </w:rPr>
        <w:t>Drugs shall be prescribed by a physician licensed to practice in the state of Iowa or the state in which the physician is currently practicing, or by an advanced registered nurse practitioner or physician associate as permitted by Iowa law, and may be prescribed only for use in accordance with dosage ranges and indications approved by the federal Food and Drug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114.11(3)</w:t>
      </w:r>
      <w:r>
        <w:rPr>
          <w:rFonts w:ascii="Times New Roman" w:hAnsi="Times New Roman"/>
          <w:b w:val="false"/>
          <w:i w:val="false"/>
          <w:color w:val="000000"/>
          <w:sz w:val="24"/>
        </w:rPr>
        <w:t> </w:t>
      </w:r>
      <w:r>
        <w:rPr>
          <w:rFonts w:ascii="Times New Roman" w:hAnsi="Times New Roman"/>
          <w:b w:val="false"/>
          <w:i/>
          <w:color w:val="000000"/>
          <w:sz w:val="24"/>
        </w:rPr>
        <w:t xml:space="preserve">Dispensed from a licensed pharmacy. </w:t>
      </w:r>
      <w:r>
        <w:rPr>
          <w:rFonts w:ascii="Times New Roman" w:hAnsi="Times New Roman"/>
          <w:b w:val="false"/>
          <w:i w:val="false"/>
          <w:color w:val="000000"/>
          <w:sz w:val="24"/>
        </w:rPr>
        <w:t>Drugs provided to residents shall be dispensed only from a licensed pharmacy in the state of Iowa in accordance with the Iowa Code, from a licensed pharmacy in another state according to the laws of that state, or by a licensed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114.11(4)</w:t>
      </w:r>
      <w:r>
        <w:rPr>
          <w:rFonts w:ascii="Times New Roman" w:hAnsi="Times New Roman"/>
          <w:b w:val="false"/>
          <w:i w:val="false"/>
          <w:color w:val="000000"/>
          <w:sz w:val="24"/>
        </w:rPr>
        <w:t> </w:t>
      </w:r>
      <w:r>
        <w:rPr>
          <w:rFonts w:ascii="Times New Roman" w:hAnsi="Times New Roman"/>
          <w:b w:val="false"/>
          <w:i/>
          <w:color w:val="000000"/>
          <w:sz w:val="24"/>
        </w:rPr>
        <w:t xml:space="preserve">Locked cabinet. </w:t>
      </w:r>
      <w:r>
        <w:rPr>
          <w:rFonts w:ascii="Times New Roman" w:hAnsi="Times New Roman"/>
          <w:b w:val="false"/>
          <w:i w:val="false"/>
          <w:color w:val="000000"/>
          <w:sz w:val="24"/>
        </w:rPr>
        <w:t xml:space="preserve">All drugs shall be maintained in a locked cabinet. Schedule II medications shall be maintained in a locked box within the locked cabinet. The cabinet key shall be in the possession of a staff person. A bathroom shall not be used for drug storage. A documented exception can be made by persons identified in these rules who may allow self-administered drugs as discussed in subrule </w:t>
      </w:r>
      <w:hyperlink r:id="rId18">
        <w:r>
          <w:rPr>
            <w:rStyle w:val="Hyperlink"/>
            <w:rFonts w:ascii="Times New Roman" w:hAnsi="Times New Roman"/>
            <w:b w:val="false"/>
            <w:i w:val="false"/>
            <w:color w:val="000000"/>
            <w:sz w:val="24"/>
          </w:rPr>
          <w:t>114.11(17)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114.11(5)</w:t>
      </w:r>
      <w:r>
        <w:rPr>
          <w:rFonts w:ascii="Times New Roman" w:hAnsi="Times New Roman"/>
          <w:b w:val="false"/>
          <w:i w:val="false"/>
          <w:color w:val="000000"/>
          <w:sz w:val="24"/>
        </w:rPr>
        <w:t> </w:t>
      </w:r>
      <w:r>
        <w:rPr>
          <w:rFonts w:ascii="Times New Roman" w:hAnsi="Times New Roman"/>
          <w:b w:val="false"/>
          <w:i/>
          <w:color w:val="000000"/>
          <w:sz w:val="24"/>
        </w:rPr>
        <w:t xml:space="preserve">Medications requiring refrigeration. </w:t>
      </w:r>
      <w:r>
        <w:rPr>
          <w:rFonts w:ascii="Times New Roman" w:hAnsi="Times New Roman"/>
          <w:b w:val="false"/>
          <w:i w:val="false"/>
          <w:color w:val="000000"/>
          <w:sz w:val="24"/>
        </w:rPr>
        <w:t>Medications requiring refrigeration shall be kept in a locked box in the refrigerator and separated from food and other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114.11(6)</w:t>
      </w:r>
      <w:r>
        <w:rPr>
          <w:rFonts w:ascii="Times New Roman" w:hAnsi="Times New Roman"/>
          <w:b w:val="false"/>
          <w:i w:val="false"/>
          <w:color w:val="000000"/>
          <w:sz w:val="24"/>
        </w:rPr>
        <w:t> </w:t>
      </w:r>
      <w:r>
        <w:rPr>
          <w:rFonts w:ascii="Times New Roman" w:hAnsi="Times New Roman"/>
          <w:b w:val="false"/>
          <w:i/>
          <w:color w:val="000000"/>
          <w:sz w:val="24"/>
        </w:rPr>
        <w:t xml:space="preserve">Poisonous or caustic drugs. </w:t>
      </w:r>
      <w:r>
        <w:rPr>
          <w:rFonts w:ascii="Times New Roman" w:hAnsi="Times New Roman"/>
          <w:b w:val="false"/>
          <w:i w:val="false"/>
          <w:color w:val="000000"/>
          <w:sz w:val="24"/>
        </w:rPr>
        <w:t>All potent poisonous or caustic drugs shall be plainly labeled, stored separately from other drugs in a specific well-illuminated cabinet, closet, or storeroom, and made accessible only to authorized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114.11(7)</w:t>
      </w:r>
      <w:r>
        <w:rPr>
          <w:rFonts w:ascii="Times New Roman" w:hAnsi="Times New Roman"/>
          <w:b w:val="false"/>
          <w:i w:val="false"/>
          <w:color w:val="000000"/>
          <w:sz w:val="24"/>
        </w:rPr>
        <w:t> </w:t>
      </w:r>
      <w:r>
        <w:rPr>
          <w:rFonts w:ascii="Times New Roman" w:hAnsi="Times New Roman"/>
          <w:b w:val="false"/>
          <w:i/>
          <w:color w:val="000000"/>
          <w:sz w:val="24"/>
        </w:rPr>
        <w:t xml:space="preserve">Prescribed medications. </w:t>
      </w:r>
      <w:r>
        <w:rPr>
          <w:rFonts w:ascii="Times New Roman" w:hAnsi="Times New Roman"/>
          <w:b w:val="false"/>
          <w:i w:val="false"/>
          <w:color w:val="000000"/>
          <w:sz w:val="24"/>
        </w:rPr>
        <w:t>All prescribed medications shall be clearly labeled indicating the child’s full name, physician’s name, prescription number, name and strength of the drug, dosage, directions for use, and date of issuing the drug. Medications shall be packaged and labeled according to state and federal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114.11(8)</w:t>
      </w:r>
      <w:r>
        <w:rPr>
          <w:rFonts w:ascii="Times New Roman" w:hAnsi="Times New Roman"/>
          <w:b w:val="false"/>
          <w:i w:val="false"/>
          <w:color w:val="000000"/>
          <w:sz w:val="24"/>
        </w:rPr>
        <w:t> </w:t>
      </w:r>
      <w:r>
        <w:rPr>
          <w:rFonts w:ascii="Times New Roman" w:hAnsi="Times New Roman"/>
          <w:b w:val="false"/>
          <w:i/>
          <w:color w:val="000000"/>
          <w:sz w:val="24"/>
        </w:rPr>
        <w:t xml:space="preserve">Medication containers. </w:t>
      </w:r>
      <w:r>
        <w:rPr>
          <w:rFonts w:ascii="Times New Roman" w:hAnsi="Times New Roman"/>
          <w:b w:val="false"/>
          <w:i w:val="false"/>
          <w:color w:val="000000"/>
          <w:sz w:val="24"/>
        </w:rPr>
        <w:t>Medication containers having soiled, damaged, illegible or makeshift labels shall be returned to the issuing pharmacist.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114.11(9)</w:t>
      </w:r>
      <w:r>
        <w:rPr>
          <w:rFonts w:ascii="Times New Roman" w:hAnsi="Times New Roman"/>
          <w:b w:val="false"/>
          <w:i w:val="false"/>
          <w:color w:val="000000"/>
          <w:sz w:val="24"/>
        </w:rPr>
        <w:t> </w:t>
      </w:r>
      <w:r>
        <w:rPr>
          <w:rFonts w:ascii="Times New Roman" w:hAnsi="Times New Roman"/>
          <w:b w:val="false"/>
          <w:i/>
          <w:color w:val="000000"/>
          <w:sz w:val="24"/>
        </w:rPr>
        <w:t xml:space="preserve">Medication for discharged residents. </w:t>
      </w:r>
      <w:r>
        <w:rPr>
          <w:rFonts w:ascii="Times New Roman" w:hAnsi="Times New Roman"/>
          <w:b w:val="false"/>
          <w:i w:val="false"/>
          <w:color w:val="000000"/>
          <w:sz w:val="24"/>
        </w:rPr>
        <w:t>When a resident is discharged or leaves the facility, the facility shall turn over to a responsible agent Schedule II medications and prescription medications currently being administered. The facility may send nonprescription medications with the child as needed. The facility shall document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strength, dosage form, and quantity of each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signature of the facility staff person who turned over the medications to the responsible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signature of the responsible agent receiving the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114.11(10)</w:t>
      </w:r>
      <w:r>
        <w:rPr>
          <w:rFonts w:ascii="Times New Roman" w:hAnsi="Times New Roman"/>
          <w:b w:val="false"/>
          <w:i w:val="false"/>
          <w:color w:val="000000"/>
          <w:sz w:val="24"/>
        </w:rPr>
        <w:t> </w:t>
      </w:r>
      <w:r>
        <w:rPr>
          <w:rFonts w:ascii="Times New Roman" w:hAnsi="Times New Roman"/>
          <w:b w:val="false"/>
          <w:i/>
          <w:color w:val="000000"/>
          <w:sz w:val="24"/>
        </w:rPr>
        <w:t xml:space="preserve">Unused prescription drugs. </w:t>
      </w:r>
      <w:r>
        <w:rPr>
          <w:rFonts w:ascii="Times New Roman" w:hAnsi="Times New Roman"/>
          <w:b w:val="false"/>
          <w:i w:val="false"/>
          <w:color w:val="000000"/>
          <w:sz w:val="24"/>
        </w:rPr>
        <w:t>Unused prescription drugs prescribed for residents may not be kept at the facility for more than 15 days after the resident has left the facility. The unused prescription drugs shall be destroyed by the facility executive director or the executive director’s designee in the presence of at least one witness. Outdated, discontinued, or unusable nonprescription medications shall also be destroyed in a similar manner. The person destroying the medication shall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resident’s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strength, dosage form, and quantity of each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the medication was destroyed.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names and signatures of the witness and staff person who destroyed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114.11(11)</w:t>
      </w:r>
      <w:r>
        <w:rPr>
          <w:rFonts w:ascii="Times New Roman" w:hAnsi="Times New Roman"/>
          <w:b w:val="false"/>
          <w:i w:val="false"/>
          <w:color w:val="000000"/>
          <w:sz w:val="24"/>
        </w:rPr>
        <w:t> </w:t>
      </w:r>
      <w:r>
        <w:rPr>
          <w:rFonts w:ascii="Times New Roman" w:hAnsi="Times New Roman"/>
          <w:b w:val="false"/>
          <w:i/>
          <w:color w:val="000000"/>
          <w:sz w:val="24"/>
        </w:rPr>
        <w:t xml:space="preserve">Refills. </w:t>
      </w:r>
      <w:r>
        <w:rPr>
          <w:rFonts w:ascii="Times New Roman" w:hAnsi="Times New Roman"/>
          <w:b w:val="false"/>
          <w:i w:val="false"/>
          <w:color w:val="000000"/>
          <w:sz w:val="24"/>
        </w:rPr>
        <w:t>Prescriptions shall be refilled only with the permission of the prescriber authorized under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114.11(12)</w:t>
      </w:r>
      <w:r>
        <w:rPr>
          <w:rFonts w:ascii="Times New Roman" w:hAnsi="Times New Roman"/>
          <w:b w:val="false"/>
          <w:i w:val="false"/>
          <w:color w:val="000000"/>
          <w:sz w:val="24"/>
        </w:rPr>
        <w:t> </w:t>
      </w:r>
      <w:r>
        <w:rPr>
          <w:rFonts w:ascii="Times New Roman" w:hAnsi="Times New Roman"/>
          <w:b w:val="false"/>
          <w:i/>
          <w:color w:val="000000"/>
          <w:sz w:val="24"/>
        </w:rPr>
        <w:t xml:space="preserve">Use of medications. </w:t>
      </w:r>
      <w:r>
        <w:rPr>
          <w:rFonts w:ascii="Times New Roman" w:hAnsi="Times New Roman"/>
          <w:b w:val="false"/>
          <w:i w:val="false"/>
          <w:color w:val="000000"/>
          <w:sz w:val="24"/>
        </w:rPr>
        <w:t>No prescription medications prescribed for one resident may be administered to or allowed in the possession of another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114.11(13)</w:t>
      </w:r>
      <w:r>
        <w:rPr>
          <w:rFonts w:ascii="Times New Roman" w:hAnsi="Times New Roman"/>
          <w:b w:val="false"/>
          <w:i w:val="false"/>
          <w:color w:val="000000"/>
          <w:sz w:val="24"/>
        </w:rPr>
        <w:t> </w:t>
      </w:r>
      <w:r>
        <w:rPr>
          <w:rFonts w:ascii="Times New Roman" w:hAnsi="Times New Roman"/>
          <w:b w:val="false"/>
          <w:i/>
          <w:color w:val="000000"/>
          <w:sz w:val="24"/>
        </w:rPr>
        <w:t xml:space="preserve">Order of authorized prescriber. </w:t>
      </w:r>
      <w:r>
        <w:rPr>
          <w:rFonts w:ascii="Times New Roman" w:hAnsi="Times New Roman"/>
          <w:b w:val="false"/>
          <w:i w:val="false"/>
          <w:color w:val="000000"/>
          <w:sz w:val="24"/>
        </w:rPr>
        <w:t>No prescription medication may be administered to a resident without the order of an authorized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114.11(14)</w:t>
      </w:r>
      <w:r>
        <w:rPr>
          <w:rFonts w:ascii="Times New Roman" w:hAnsi="Times New Roman"/>
          <w:b w:val="false"/>
          <w:i w:val="false"/>
          <w:color w:val="000000"/>
          <w:sz w:val="24"/>
        </w:rPr>
        <w:t> </w:t>
      </w:r>
      <w:r>
        <w:rPr>
          <w:rFonts w:ascii="Times New Roman" w:hAnsi="Times New Roman"/>
          <w:b w:val="false"/>
          <w:i/>
          <w:color w:val="000000"/>
          <w:sz w:val="24"/>
        </w:rPr>
        <w:t xml:space="preserve">Patient reaction. </w:t>
      </w:r>
      <w:r>
        <w:rPr>
          <w:rFonts w:ascii="Times New Roman" w:hAnsi="Times New Roman"/>
          <w:b w:val="false"/>
          <w:i w:val="false"/>
          <w:color w:val="000000"/>
          <w:sz w:val="24"/>
        </w:rPr>
        <w:t>Any unusual patient reaction to a drug shall be reported to the attending physician or prescriber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114.11(15)</w:t>
      </w:r>
      <w:r>
        <w:rPr>
          <w:rFonts w:ascii="Times New Roman" w:hAnsi="Times New Roman"/>
          <w:b w:val="false"/>
          <w:i w:val="false"/>
          <w:color w:val="000000"/>
          <w:sz w:val="24"/>
        </w:rPr>
        <w:t> </w:t>
      </w:r>
      <w:r>
        <w:rPr>
          <w:rFonts w:ascii="Times New Roman" w:hAnsi="Times New Roman"/>
          <w:b w:val="false"/>
          <w:i/>
          <w:color w:val="000000"/>
          <w:sz w:val="24"/>
        </w:rPr>
        <w:t xml:space="preserve">Dilution or reconstitution of drugs. </w:t>
      </w:r>
      <w:r>
        <w:rPr>
          <w:rFonts w:ascii="Times New Roman" w:hAnsi="Times New Roman"/>
          <w:b w:val="false"/>
          <w:i w:val="false"/>
          <w:color w:val="000000"/>
          <w:sz w:val="24"/>
        </w:rPr>
        <w:t>Dilution or reconstitution of drugs and their labeling shall be done only by a licensed pharmacist.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114.11(16)</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drugs. </w:t>
      </w:r>
      <w:r>
        <w:rPr>
          <w:rFonts w:ascii="Times New Roman" w:hAnsi="Times New Roman"/>
          <w:b w:val="false"/>
          <w:i w:val="false"/>
          <w:color w:val="000000"/>
          <w:sz w:val="24"/>
        </w:rPr>
        <w:t>Medications shall be administered only in accordance with the instructions of the attending physician or authorized prescriber. Medications shall be administered only by staff who have completed a medication management course. The type and amount of the medication, the time and date, and the staff member administering the medication shall be documented in the child’s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114.11(17)</w:t>
      </w:r>
      <w:r>
        <w:rPr>
          <w:rFonts w:ascii="Times New Roman" w:hAnsi="Times New Roman"/>
          <w:b w:val="false"/>
          <w:i w:val="false"/>
          <w:color w:val="000000"/>
          <w:sz w:val="24"/>
        </w:rPr>
        <w:t> </w:t>
      </w:r>
      <w:r>
        <w:rPr>
          <w:rFonts w:ascii="Times New Roman" w:hAnsi="Times New Roman"/>
          <w:b w:val="false"/>
          <w:i/>
          <w:color w:val="000000"/>
          <w:sz w:val="24"/>
        </w:rPr>
        <w:t xml:space="preserve">Self-administration of drugs. </w:t>
      </w:r>
      <w:r>
        <w:rPr>
          <w:rFonts w:ascii="Times New Roman" w:hAnsi="Times New Roman"/>
          <w:b w:val="false"/>
          <w:i w:val="false"/>
          <w:color w:val="000000"/>
          <w:sz w:val="24"/>
        </w:rPr>
        <w:t>There shall be written policy and procedures relative to self-administration of prescription medications by residents and only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Medications are prescribed by a physician or other authorized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physician or authorized prescriber provides written approval that the patient is capable of participating and can self-administer the drug.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What is taken and when is documented in the record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114.11(18)</w:t>
      </w:r>
      <w:r>
        <w:rPr>
          <w:rFonts w:ascii="Times New Roman" w:hAnsi="Times New Roman"/>
          <w:b w:val="false"/>
          <w:i w:val="false"/>
          <w:color w:val="000000"/>
          <w:sz w:val="24"/>
        </w:rPr>
        <w:t> </w:t>
      </w:r>
      <w:r>
        <w:rPr>
          <w:rFonts w:ascii="Times New Roman" w:hAnsi="Times New Roman"/>
          <w:b w:val="false"/>
          <w:i/>
          <w:color w:val="000000"/>
          <w:sz w:val="24"/>
        </w:rPr>
        <w:t xml:space="preserve">Obtaining nonprescription medications. </w:t>
      </w:r>
      <w:r>
        <w:rPr>
          <w:rFonts w:ascii="Times New Roman" w:hAnsi="Times New Roman"/>
          <w:b w:val="false"/>
          <w:i w:val="false"/>
          <w:color w:val="000000"/>
          <w:sz w:val="24"/>
        </w:rPr>
        <w:t>Facilities shall maintain a supply of standard nonprescription medications for use for children residing at the facility. Examples of standard nonprescription medications include cough drops and cough syrups, aspirin substitutes and other pain control medication, poison antidote, and diarrhea control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nonprescription medications kept on the premises for the use of residents shall be pre-approved annually by a licensed pharmacist or an authorized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Facilities shall maintain a list of all pre-approved nonprescription medications. The list shall indicate standard uses, standard dosages, contraindications, side effects, and common drug interaction warnings. The facility administrator or the administrator’s designee shall be responsible for determining the scope of the list and brands and types of medications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Only nonprescription medications on the preapproved list shall be available for use. However, the facility administrator or the administrator’s designee, in consultation with an authorized prescriber or licensed pharmacist, may approve use of a nonprescription medication that is not on the preapproved list for a specific child.</w:t>
      </w:r>
    </w:p>
    <w:p>
      <w:pPr>
        <w:spacing w:before="0" w:after="0" w:line="480"/>
        <w:ind w:left="120"/>
        <w:jc w:val="both"/>
      </w:pPr>
      <w:r>
        <w:rPr>
          <w:rFonts w:ascii="Times New Roman" w:hAnsi="Times New Roman"/>
          <w:b/>
          <w:i w:val="false"/>
          <w:color w:val="000000"/>
          <w:sz w:val="24"/>
        </w:rPr>
        <w:t>441—114.12</w:t>
      </w:r>
      <w:r>
        <w:rPr>
          <w:rFonts w:ascii="Times New Roman" w:hAnsi="Times New Roman"/>
          <w:b/>
          <w:i w:val="false"/>
          <w:color w:val="000000"/>
          <w:sz w:val="24"/>
        </w:rPr>
        <w:t xml:space="preserve">(237) </w:t>
      </w:r>
      <w:r>
        <w:rPr>
          <w:rFonts w:ascii="Times New Roman" w:hAnsi="Times New Roman"/>
          <w:b/>
          <w:i w:val="false"/>
          <w:color w:val="000000"/>
          <w:sz w:val="24"/>
        </w:rPr>
        <w:t xml:space="preserve">Children’s rights.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114.12(1)</w:t>
      </w:r>
      <w:r>
        <w:rPr>
          <w:rFonts w:ascii="Times New Roman" w:hAnsi="Times New Roman"/>
          <w:b w:val="false"/>
          <w:i w:val="false"/>
          <w:color w:val="000000"/>
          <w:sz w:val="24"/>
        </w:rPr>
        <w:t> </w:t>
      </w:r>
      <w:r>
        <w:rPr>
          <w:rFonts w:ascii="Times New Roman" w:hAnsi="Times New Roman"/>
          <w:b w:val="false"/>
          <w:i/>
          <w:color w:val="000000"/>
          <w:sz w:val="24"/>
        </w:rPr>
        <w:t xml:space="preserve">Policies in writing. </w:t>
      </w:r>
      <w:r>
        <w:rPr>
          <w:rFonts w:ascii="Times New Roman" w:hAnsi="Times New Roman"/>
          <w:b w:val="false"/>
          <w:i w:val="false"/>
          <w:color w:val="000000"/>
          <w:sz w:val="24"/>
        </w:rPr>
        <w:t>All policies and procedures covered in this rule shall be provided to the child and parents or guardian upon the child’s admission to the facility. The rationale and circumstances of any deviation from these policies shall be discussed with the child’s parents or guardian and the referring worker, documented, and placed in the child’s case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114.12(2)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r>
        <w:rPr>
          <w:rFonts w:ascii="Times New Roman" w:hAnsi="Times New Roman"/>
          <w:b w:val="false"/>
          <w:i w:val="false"/>
          <w:color w:val="000000"/>
          <w:sz w:val="24"/>
        </w:rPr>
        <w:t>Information regarding children and their families shall be kept confidential and released only with proper written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114.12(3)</w:t>
      </w:r>
      <w:r>
        <w:rPr>
          <w:rFonts w:ascii="Times New Roman" w:hAnsi="Times New Roman"/>
          <w:b w:val="false"/>
          <w:i w:val="false"/>
          <w:color w:val="000000"/>
          <w:sz w:val="24"/>
        </w:rPr>
        <w:t> </w:t>
      </w:r>
      <w:r>
        <w:rPr>
          <w:rFonts w:ascii="Times New Roman" w:hAnsi="Times New Roman"/>
          <w:b w:val="false"/>
          <w:i/>
          <w:color w:val="000000"/>
          <w:sz w:val="24"/>
        </w:rPr>
        <w:t xml:space="preserve">Communication.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Visitation shall be allowed with members of the child’s immediate family unless otherwise regulated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Visits shall be allowed with other significant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Consideration shall be given to privacy for family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child shall be permitted to communicate with legal counsel and the referring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child shall be allowed to conduct private telephone conversations with family members. Incoming calls may be screened by staff to verify the identity of the caller before approval is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child shall be allowed to send and receive mail unopened unless contraindicated. Contraindications, except those listed below, should be documented in the child’s file. The facility may require the child to open incoming mail in the presence of a staff member when it is suspected to contain contraband articles, or when there is money that should be receipted and deposited.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limitations on visitation, calls or other communications are indicated, they shall be determined with the participation or knowledge of the child, family or guardian, and the referring worker. All restrictions shall have specific bases which shall be made explicit to the child and family and documented in the child’s case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114.12(4)</w:t>
      </w:r>
      <w:r>
        <w:rPr>
          <w:rFonts w:ascii="Times New Roman" w:hAnsi="Times New Roman"/>
          <w:b w:val="false"/>
          <w:i w:val="false"/>
          <w:color w:val="000000"/>
          <w:sz w:val="24"/>
        </w:rPr>
        <w:t> </w:t>
      </w:r>
      <w:r>
        <w:rPr>
          <w:rFonts w:ascii="Times New Roman" w:hAnsi="Times New Roman"/>
          <w:b w:val="false"/>
          <w:i/>
          <w:color w:val="000000"/>
          <w:sz w:val="24"/>
        </w:rPr>
        <w:t xml:space="preserve">Privacy. </w:t>
      </w:r>
      <w:r>
        <w:rPr>
          <w:rFonts w:ascii="Times New Roman" w:hAnsi="Times New Roman"/>
          <w:b w:val="false"/>
          <w:i w:val="false"/>
          <w:color w:val="000000"/>
          <w:sz w:val="24"/>
        </w:rPr>
        <w:t>Reasonable provisions shall be made for the privacy of children.</w:t>
      </w:r>
    </w:p>
    <w:p>
      <w:pPr>
        <w:spacing w:before="0" w:after="0" w:line="480"/>
        <w:ind w:left="120"/>
        <w:jc w:val="both"/>
      </w:pPr>
      <w:r>
        <w:rPr>
          <w:rFonts w:ascii="Times New Roman" w:hAnsi="Times New Roman"/>
          <w:b/>
          <w:i w:val="false"/>
          <w:color w:val="000000"/>
          <w:sz w:val="24"/>
        </w:rPr>
        <w:t>441—114.13</w:t>
      </w:r>
      <w:r>
        <w:rPr>
          <w:rFonts w:ascii="Times New Roman" w:hAnsi="Times New Roman"/>
          <w:b/>
          <w:i w:val="false"/>
          <w:color w:val="000000"/>
          <w:sz w:val="24"/>
        </w:rPr>
        <w:t xml:space="preserve">(237) </w:t>
      </w:r>
      <w:r>
        <w:rPr>
          <w:rFonts w:ascii="Times New Roman" w:hAnsi="Times New Roman"/>
          <w:b/>
          <w:i w:val="false"/>
          <w:color w:val="000000"/>
          <w:sz w:val="24"/>
        </w:rPr>
        <w:t xml:space="preserve">Personal possessions.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114.13(1)</w:t>
      </w:r>
      <w:r>
        <w:rPr>
          <w:rFonts w:ascii="Times New Roman" w:hAnsi="Times New Roman"/>
          <w:b w:val="false"/>
          <w:i w:val="false"/>
          <w:color w:val="000000"/>
          <w:sz w:val="24"/>
        </w:rPr>
        <w:t> </w:t>
      </w:r>
      <w:r>
        <w:rPr>
          <w:rFonts w:ascii="Times New Roman" w:hAnsi="Times New Roman"/>
          <w:b w:val="false"/>
          <w:i/>
          <w:color w:val="000000"/>
          <w:sz w:val="24"/>
        </w:rPr>
        <w:t xml:space="preserve">Belongings. </w:t>
      </w:r>
      <w:r>
        <w:rPr>
          <w:rFonts w:ascii="Times New Roman" w:hAnsi="Times New Roman"/>
          <w:b w:val="false"/>
          <w:i w:val="false"/>
          <w:color w:val="000000"/>
          <w:sz w:val="24"/>
        </w:rPr>
        <w:t>A facility shall allow a child in care to bring personal belongings and to acquire belongings in accordance with the child’s service plan. However, the facility shall, as necessary, limit or supervise the use of these items while the child is in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114.13(2)</w:t>
      </w:r>
      <w:r>
        <w:rPr>
          <w:rFonts w:ascii="Times New Roman" w:hAnsi="Times New Roman"/>
          <w:b w:val="false"/>
          <w:i w:val="false"/>
          <w:color w:val="000000"/>
          <w:sz w:val="24"/>
        </w:rPr>
        <w:t> </w:t>
      </w:r>
      <w:r>
        <w:rPr>
          <w:rFonts w:ascii="Times New Roman" w:hAnsi="Times New Roman"/>
          <w:b w:val="false"/>
          <w:i/>
          <w:color w:val="000000"/>
          <w:sz w:val="24"/>
        </w:rPr>
        <w:t xml:space="preserve">Clothing. </w:t>
      </w:r>
      <w:r>
        <w:rPr>
          <w:rFonts w:ascii="Times New Roman" w:hAnsi="Times New Roman"/>
          <w:b w:val="false"/>
          <w:i w:val="false"/>
          <w:color w:val="000000"/>
          <w:sz w:val="24"/>
        </w:rPr>
        <w:t>A facility shall ensure that each child in care has adequate, clean, well-fitting, and seasonable clothing as required for health, comfort, and physical well-being. The clothes should be appropriate to age and individual needs.</w:t>
      </w:r>
    </w:p>
    <w:p>
      <w:pPr>
        <w:spacing w:before="0" w:after="0" w:line="480"/>
        <w:ind w:left="120"/>
        <w:jc w:val="both"/>
      </w:pPr>
      <w:r>
        <w:rPr>
          <w:rFonts w:ascii="Times New Roman" w:hAnsi="Times New Roman"/>
          <w:b/>
          <w:i w:val="false"/>
          <w:color w:val="000000"/>
          <w:sz w:val="24"/>
        </w:rPr>
        <w:t>441—114.14</w:t>
      </w:r>
      <w:r>
        <w:rPr>
          <w:rFonts w:ascii="Times New Roman" w:hAnsi="Times New Roman"/>
          <w:b/>
          <w:i w:val="false"/>
          <w:color w:val="000000"/>
          <w:sz w:val="24"/>
        </w:rPr>
        <w:t xml:space="preserve">(237) </w:t>
      </w:r>
      <w:r>
        <w:rPr>
          <w:rFonts w:ascii="Times New Roman" w:hAnsi="Times New Roman"/>
          <w:b/>
          <w:i w:val="false"/>
          <w:color w:val="000000"/>
          <w:sz w:val="24"/>
        </w:rPr>
        <w:t xml:space="preserve">Religion—culture.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114.14(1)</w:t>
      </w:r>
      <w:r>
        <w:rPr>
          <w:rFonts w:ascii="Times New Roman" w:hAnsi="Times New Roman"/>
          <w:b w:val="false"/>
          <w:i w:val="false"/>
          <w:color w:val="000000"/>
          <w:sz w:val="24"/>
        </w:rPr>
        <w:t> </w:t>
      </w:r>
      <w:r>
        <w:rPr>
          <w:rFonts w:ascii="Times New Roman" w:hAnsi="Times New Roman"/>
          <w:b w:val="false"/>
          <w:i/>
          <w:color w:val="000000"/>
          <w:sz w:val="24"/>
        </w:rPr>
        <w:t xml:space="preserve">Facility orientation. </w:t>
      </w:r>
      <w:r>
        <w:rPr>
          <w:rFonts w:ascii="Times New Roman" w:hAnsi="Times New Roman"/>
          <w:b w:val="false"/>
          <w:i w:val="false"/>
          <w:color w:val="000000"/>
          <w:sz w:val="24"/>
        </w:rPr>
        <w:t>A facility shall have a written description of its religious orientation, particular religious practices that are observed, and any religious restrictions. This description shall be provided to the child, the parent(s) or guardian, and the placing agency at the time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114.14(2)</w:t>
      </w:r>
      <w:r>
        <w:rPr>
          <w:rFonts w:ascii="Times New Roman" w:hAnsi="Times New Roman"/>
          <w:b w:val="false"/>
          <w:i w:val="false"/>
          <w:color w:val="000000"/>
          <w:sz w:val="24"/>
        </w:rPr>
        <w:t> </w:t>
      </w:r>
      <w:r>
        <w:rPr>
          <w:rFonts w:ascii="Times New Roman" w:hAnsi="Times New Roman"/>
          <w:b w:val="false"/>
          <w:i/>
          <w:color w:val="000000"/>
          <w:sz w:val="24"/>
        </w:rPr>
        <w:t xml:space="preserve">Child participation. </w:t>
      </w:r>
      <w:r>
        <w:rPr>
          <w:rFonts w:ascii="Times New Roman" w:hAnsi="Times New Roman"/>
          <w:b w:val="false"/>
          <w:i w:val="false"/>
          <w:color w:val="000000"/>
          <w:sz w:val="24"/>
        </w:rPr>
        <w:t>When a facility accepts a child, the child shall have the opportunity to participate in religious activities and services in accordance with the child’s own faith or that of the child’s parent(s) or guardian. The facility shall, when necessary and reasonable, arrange transportation for religious activities. Wherever feasible, the child shall be permitted to attend religious activities and services in the community.</w:t>
      </w:r>
    </w:p>
    <w:p>
      <w:pPr>
        <w:spacing w:before="0" w:after="0" w:line="480"/>
        <w:ind w:left="120"/>
        <w:jc w:val="both"/>
      </w:pPr>
      <w:r>
        <w:rPr>
          <w:rFonts w:ascii="Times New Roman" w:hAnsi="Times New Roman"/>
          <w:b/>
          <w:i w:val="false"/>
          <w:color w:val="000000"/>
          <w:sz w:val="24"/>
        </w:rPr>
        <w:t>441—114.15</w:t>
      </w:r>
      <w:r>
        <w:rPr>
          <w:rFonts w:ascii="Times New Roman" w:hAnsi="Times New Roman"/>
          <w:b/>
          <w:i w:val="false"/>
          <w:color w:val="000000"/>
          <w:sz w:val="24"/>
        </w:rPr>
        <w:t xml:space="preserve">(237) </w:t>
      </w:r>
      <w:r>
        <w:rPr>
          <w:rFonts w:ascii="Times New Roman" w:hAnsi="Times New Roman"/>
          <w:b/>
          <w:i w:val="false"/>
          <w:color w:val="000000"/>
          <w:sz w:val="24"/>
        </w:rPr>
        <w:t xml:space="preserve">Work or vocational experiences.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114.15(1)</w:t>
      </w:r>
      <w:r>
        <w:rPr>
          <w:rFonts w:ascii="Times New Roman" w:hAnsi="Times New Roman"/>
          <w:b w:val="false"/>
          <w:i w:val="false"/>
          <w:color w:val="000000"/>
          <w:sz w:val="24"/>
        </w:rPr>
        <w:t> </w:t>
      </w:r>
      <w:r>
        <w:rPr>
          <w:rFonts w:ascii="Times New Roman" w:hAnsi="Times New Roman"/>
          <w:b w:val="false"/>
          <w:i/>
          <w:color w:val="000000"/>
          <w:sz w:val="24"/>
        </w:rPr>
        <w:t xml:space="preserve">Written description. </w:t>
      </w:r>
      <w:r>
        <w:rPr>
          <w:rFonts w:ascii="Times New Roman" w:hAnsi="Times New Roman"/>
          <w:b w:val="false"/>
          <w:i w:val="false"/>
          <w:color w:val="000000"/>
          <w:sz w:val="24"/>
        </w:rPr>
        <w:t>The facility shall have a written statement of any work and vocational experiences available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114.15(2)</w:t>
      </w:r>
      <w:r>
        <w:rPr>
          <w:rFonts w:ascii="Times New Roman" w:hAnsi="Times New Roman"/>
          <w:b w:val="false"/>
          <w:i w:val="false"/>
          <w:color w:val="000000"/>
          <w:sz w:val="24"/>
        </w:rPr>
        <w:t> </w:t>
      </w:r>
      <w:r>
        <w:rPr>
          <w:rFonts w:ascii="Times New Roman" w:hAnsi="Times New Roman"/>
          <w:b w:val="false"/>
          <w:i/>
          <w:color w:val="000000"/>
          <w:sz w:val="24"/>
        </w:rPr>
        <w:t xml:space="preserve">Program component. </w:t>
      </w:r>
      <w:r>
        <w:rPr>
          <w:rFonts w:ascii="Times New Roman" w:hAnsi="Times New Roman"/>
          <w:b w:val="false"/>
          <w:i w:val="false"/>
          <w:color w:val="000000"/>
          <w:sz w:val="24"/>
        </w:rPr>
        <w:t>Work as part of the program shall be identified in the child’s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114.15(3)</w:t>
      </w:r>
      <w:r>
        <w:rPr>
          <w:rFonts w:ascii="Times New Roman" w:hAnsi="Times New Roman"/>
          <w:b w:val="false"/>
          <w:i w:val="false"/>
          <w:color w:val="000000"/>
          <w:sz w:val="24"/>
        </w:rPr>
        <w:t> </w:t>
      </w:r>
      <w:r>
        <w:rPr>
          <w:rFonts w:ascii="Times New Roman" w:hAnsi="Times New Roman"/>
          <w:b w:val="false"/>
          <w:i/>
          <w:color w:val="000000"/>
          <w:sz w:val="24"/>
        </w:rPr>
        <w:t xml:space="preserve">Self-care. </w:t>
      </w:r>
      <w:r>
        <w:rPr>
          <w:rFonts w:ascii="Times New Roman" w:hAnsi="Times New Roman"/>
          <w:b w:val="false"/>
          <w:i w:val="false"/>
          <w:color w:val="000000"/>
          <w:sz w:val="24"/>
        </w:rPr>
        <w:t>Ordinary self-care and self-sufficiency tasks are not considered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114.15(4)</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Work shall be in the child’s interest, within the child’s ability, with payment where appropriate, and never solely in the interest of the facility’s goals or needs.</w:t>
      </w:r>
    </w:p>
    <w:p>
      <w:pPr>
        <w:spacing w:before="210" w:after="0" w:line="480"/>
        <w:ind w:left="120"/>
        <w:jc w:val="both"/>
      </w:pPr>
      <w:r>
        <w:rPr>
          <w:rFonts w:ascii="Times New Roman" w:hAnsi="Times New Roman"/>
          <w:b/>
          <w:i w:val="false"/>
          <w:color w:val="000000"/>
          <w:sz w:val="24"/>
        </w:rPr>
        <w:t>441—114.16</w:t>
      </w:r>
      <w:r>
        <w:rPr>
          <w:rFonts w:ascii="Times New Roman" w:hAnsi="Times New Roman"/>
          <w:b/>
          <w:i w:val="false"/>
          <w:color w:val="000000"/>
          <w:sz w:val="24"/>
        </w:rPr>
        <w:t xml:space="preserve">(237) </w:t>
      </w:r>
      <w:r>
        <w:rPr>
          <w:rFonts w:ascii="Times New Roman" w:hAnsi="Times New Roman"/>
          <w:b/>
          <w:i w:val="false"/>
          <w:color w:val="000000"/>
          <w:sz w:val="24"/>
        </w:rPr>
        <w:t xml:space="preserve">Family involvement. </w:t>
      </w:r>
      <w:r>
        <w:rPr>
          <w:rFonts w:ascii="Times New Roman" w:hAnsi="Times New Roman"/>
          <w:b w:val="false"/>
          <w:i w:val="false"/>
          <w:color w:val="000000"/>
          <w:sz w:val="24"/>
        </w:rPr>
        <w:t>There shall be written policies and procedures for family involvement that shall encourage continued involvement of the family with the child.</w:t>
      </w:r>
    </w:p>
    <w:p>
      <w:pPr>
        <w:spacing w:before="0" w:after="0" w:line="480"/>
        <w:ind w:left="120"/>
        <w:jc w:val="both"/>
      </w:pPr>
      <w:r>
        <w:rPr>
          <w:rFonts w:ascii="Times New Roman" w:hAnsi="Times New Roman"/>
          <w:b/>
          <w:i w:val="false"/>
          <w:color w:val="000000"/>
          <w:sz w:val="24"/>
        </w:rPr>
        <w:t>441—114.17</w:t>
      </w:r>
      <w:r>
        <w:rPr>
          <w:rFonts w:ascii="Times New Roman" w:hAnsi="Times New Roman"/>
          <w:b/>
          <w:i w:val="false"/>
          <w:color w:val="000000"/>
          <w:sz w:val="24"/>
        </w:rPr>
        <w:t xml:space="preserve">(237) </w:t>
      </w:r>
      <w:r>
        <w:rPr>
          <w:rFonts w:ascii="Times New Roman" w:hAnsi="Times New Roman"/>
          <w:b/>
          <w:i w:val="false"/>
          <w:color w:val="000000"/>
          <w:sz w:val="24"/>
        </w:rPr>
        <w:t xml:space="preserve">Children’s money.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114.17(1)</w:t>
      </w:r>
      <w:r>
        <w:rPr>
          <w:rFonts w:ascii="Times New Roman" w:hAnsi="Times New Roman"/>
          <w:b w:val="false"/>
          <w:i w:val="false"/>
          <w:color w:val="000000"/>
          <w:sz w:val="24"/>
        </w:rPr>
        <w:t> </w:t>
      </w:r>
      <w:r>
        <w:rPr>
          <w:rFonts w:ascii="Times New Roman" w:hAnsi="Times New Roman"/>
          <w:b w:val="false"/>
          <w:i/>
          <w:color w:val="000000"/>
          <w:sz w:val="24"/>
        </w:rPr>
        <w:t xml:space="preserve">Treatment of funds. </w:t>
      </w:r>
      <w:r>
        <w:rPr>
          <w:rFonts w:ascii="Times New Roman" w:hAnsi="Times New Roman"/>
          <w:b w:val="false"/>
          <w:i w:val="false"/>
          <w:color w:val="000000"/>
          <w:sz w:val="24"/>
        </w:rPr>
        <w:t>Money earned, received as a gift, or as an allowance by a child in care shall be deemed to be that child’s personal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114.17(2)</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r>
        <w:rPr>
          <w:rFonts w:ascii="Times New Roman" w:hAnsi="Times New Roman"/>
          <w:b w:val="false"/>
          <w:i w:val="false"/>
          <w:color w:val="000000"/>
          <w:sz w:val="24"/>
        </w:rPr>
        <w:t>The facility shall have a written policy on limitations on the child’s use of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114.17(3)</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facility shall maintain a separate accounting system for children’s money.</w:t>
      </w:r>
    </w:p>
    <w:p>
      <w:pPr>
        <w:spacing w:before="210" w:after="0" w:line="480"/>
        <w:ind w:left="120"/>
        <w:jc w:val="both"/>
      </w:pPr>
      <w:r>
        <w:rPr>
          <w:rFonts w:ascii="Times New Roman" w:hAnsi="Times New Roman"/>
          <w:b/>
          <w:i w:val="false"/>
          <w:color w:val="000000"/>
          <w:sz w:val="24"/>
        </w:rPr>
        <w:t>441—114.18</w:t>
      </w:r>
      <w:r>
        <w:rPr>
          <w:rFonts w:ascii="Times New Roman" w:hAnsi="Times New Roman"/>
          <w:b/>
          <w:i w:val="false"/>
          <w:color w:val="000000"/>
          <w:sz w:val="24"/>
        </w:rPr>
        <w:t xml:space="preserve">(237) </w:t>
      </w:r>
      <w:r>
        <w:rPr>
          <w:rFonts w:ascii="Times New Roman" w:hAnsi="Times New Roman"/>
          <w:b/>
          <w:i w:val="false"/>
          <w:color w:val="000000"/>
          <w:sz w:val="24"/>
        </w:rPr>
        <w:t xml:space="preserve">Child abuse. </w:t>
      </w:r>
      <w:r>
        <w:rPr>
          <w:rFonts w:ascii="Times New Roman" w:hAnsi="Times New Roman"/>
          <w:b w:val="false"/>
          <w:i w:val="false"/>
          <w:color w:val="000000"/>
          <w:sz w:val="24"/>
        </w:rPr>
        <w:t xml:space="preserve">Written policies shall prohibit mistreatment, neglect, or abuse of children and specify reporting and enforcement procedures for the facility. Alleged violations shall be reported immediately to the director of the facility and the centralized abuse hotline. Any employee found to be in violation of Iowa Code chapter </w:t>
      </w:r>
      <w:hyperlink r:id="rId19">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as substantiated by the department’s investigation, shall be subject to the agency’s policies concerning dismissal.</w:t>
      </w:r>
    </w:p>
    <w:p>
      <w:pPr>
        <w:spacing w:before="0" w:after="0" w:line="480"/>
        <w:ind w:left="120"/>
        <w:jc w:val="both"/>
      </w:pPr>
      <w:r>
        <w:rPr>
          <w:rFonts w:ascii="Times New Roman" w:hAnsi="Times New Roman"/>
          <w:b/>
          <w:i w:val="false"/>
          <w:color w:val="000000"/>
          <w:sz w:val="24"/>
        </w:rPr>
        <w:t>441—114.19</w:t>
      </w:r>
      <w:r>
        <w:rPr>
          <w:rFonts w:ascii="Times New Roman" w:hAnsi="Times New Roman"/>
          <w:b/>
          <w:i w:val="false"/>
          <w:color w:val="000000"/>
          <w:sz w:val="24"/>
        </w:rPr>
        <w:t xml:space="preserve">(237) </w:t>
      </w:r>
      <w:r>
        <w:rPr>
          <w:rFonts w:ascii="Times New Roman" w:hAnsi="Times New Roman"/>
          <w:b/>
          <w:i w:val="false"/>
          <w:color w:val="000000"/>
          <w:sz w:val="24"/>
        </w:rPr>
        <w:t xml:space="preserve">Discipline.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The facility shall have written policies regarding methods used for control and discipline of children that shall be available to all staff and to the child’s family. Agency staff shall be in control of and responsible for discipline at all times. Discipline shall not include the withholding of basic necessities, such as food, clothing, or sleep. Discipline shall not be used for anyone other than a child whose actions resulted in consequences. Group discipline shall not be used because of actions of an individual child or other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114.19(2)</w:t>
      </w:r>
      <w:r>
        <w:rPr>
          <w:rFonts w:ascii="Times New Roman" w:hAnsi="Times New Roman"/>
          <w:b w:val="false"/>
          <w:i w:val="false"/>
          <w:color w:val="000000"/>
          <w:sz w:val="24"/>
        </w:rPr>
        <w:t> </w:t>
      </w:r>
      <w:r>
        <w:rPr>
          <w:rFonts w:ascii="Times New Roman" w:hAnsi="Times New Roman"/>
          <w:b w:val="false"/>
          <w:i/>
          <w:color w:val="000000"/>
          <w:sz w:val="24"/>
        </w:rPr>
        <w:t xml:space="preserve">Corporal punishment prohibited. </w:t>
      </w:r>
      <w:r>
        <w:rPr>
          <w:rFonts w:ascii="Times New Roman" w:hAnsi="Times New Roman"/>
          <w:b w:val="false"/>
          <w:i w:val="false"/>
          <w:color w:val="000000"/>
          <w:sz w:val="24"/>
        </w:rPr>
        <w:t>The facility shall have a policy that clearly prohibits staff or the children from utilizing corporal punishment as a method of disciplining or correcting children. This policy is to be communicated in writing to all staff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114.19(3)</w:t>
      </w:r>
      <w:r>
        <w:rPr>
          <w:rFonts w:ascii="Times New Roman" w:hAnsi="Times New Roman"/>
          <w:b w:val="false"/>
          <w:i w:val="false"/>
          <w:color w:val="000000"/>
          <w:sz w:val="24"/>
        </w:rPr>
        <w:t> </w:t>
      </w:r>
      <w:r>
        <w:rPr>
          <w:rFonts w:ascii="Times New Roman" w:hAnsi="Times New Roman"/>
          <w:b w:val="false"/>
          <w:i/>
          <w:color w:val="000000"/>
          <w:sz w:val="24"/>
        </w:rPr>
        <w:t xml:space="preserve">Physical restraint. </w:t>
      </w:r>
      <w:r>
        <w:rPr>
          <w:rFonts w:ascii="Times New Roman" w:hAnsi="Times New Roman"/>
          <w:b w:val="false"/>
          <w:i w:val="false"/>
          <w:color w:val="000000"/>
          <w:sz w:val="24"/>
        </w:rPr>
        <w:t>The use of physical restraint shall be employed only to prevent the child from injury to self, to others, or to property. Physical restraint must be conducted with the child in a standing position whenever possible. Each child has the right to be free from restraint and seclusion, of any form, used as a means of coercion, discipline, convenience, or retaliation.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staff person shall use any restraint that obstructs the airway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Prone restraint is prohibited. Staff persons who find themselves involved in the use of a prone restraint when responding to an emergency must take immediate steps to end the prone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rationale and authorization for the use of physical restraint and staff action and procedures carried out to protect the child’s rights and to ensure safety shall be clearly documented in the child’s record by the responsible staff persons no later than the end of the shift in which the restraint was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Documentation of restraint use shall include, but need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use of restraint or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the intervention began and 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reason that required the resident to be restrained or put in a control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 of staff involved in the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114.19(4)</w:t>
      </w:r>
      <w:r>
        <w:rPr>
          <w:rFonts w:ascii="Times New Roman" w:hAnsi="Times New Roman"/>
          <w:b w:val="false"/>
          <w:i w:val="false"/>
          <w:color w:val="000000"/>
          <w:sz w:val="24"/>
        </w:rPr>
        <w:t> </w:t>
      </w:r>
      <w:r>
        <w:rPr>
          <w:rFonts w:ascii="Times New Roman" w:hAnsi="Times New Roman"/>
          <w:b w:val="false"/>
          <w:i/>
          <w:color w:val="000000"/>
          <w:sz w:val="24"/>
        </w:rPr>
        <w:t xml:space="preserve">Other restraints and control room. </w:t>
      </w:r>
      <w:r>
        <w:rPr>
          <w:rFonts w:ascii="Times New Roman" w:hAnsi="Times New Roman"/>
          <w:b w:val="false"/>
          <w:i w:val="false"/>
          <w:color w:val="000000"/>
          <w:sz w:val="24"/>
        </w:rPr>
        <w:t>Only comprehensive residential facilities may use a control room, locked cottages, or mechanical restraints.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114.19(5)</w:t>
      </w:r>
      <w:r>
        <w:rPr>
          <w:rFonts w:ascii="Times New Roman" w:hAnsi="Times New Roman"/>
          <w:b w:val="false"/>
          <w:i w:val="false"/>
          <w:color w:val="000000"/>
          <w:sz w:val="24"/>
        </w:rPr>
        <w:t> </w:t>
      </w:r>
      <w:r>
        <w:rPr>
          <w:rFonts w:ascii="Times New Roman" w:hAnsi="Times New Roman"/>
          <w:b w:val="false"/>
          <w:i/>
          <w:color w:val="000000"/>
          <w:sz w:val="24"/>
        </w:rPr>
        <w:t xml:space="preserve">Behavior expectations. </w:t>
      </w:r>
      <w:r>
        <w:rPr>
          <w:rFonts w:ascii="Times New Roman" w:hAnsi="Times New Roman"/>
          <w:b w:val="false"/>
          <w:i w:val="false"/>
          <w:color w:val="000000"/>
          <w:sz w:val="24"/>
        </w:rPr>
        <w:t>The facility shall make available to the child and the child’s parents or guardian written policies regarding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general expectation of behavior including the facility’s rules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range of reasonable consequences that may be used to deal with inappropriate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114.19(6)</w:t>
      </w:r>
      <w:r>
        <w:rPr>
          <w:rFonts w:ascii="Times New Roman" w:hAnsi="Times New Roman"/>
          <w:b w:val="false"/>
          <w:i w:val="false"/>
          <w:color w:val="000000"/>
          <w:sz w:val="24"/>
        </w:rPr>
        <w:t> </w:t>
      </w:r>
      <w:r>
        <w:rPr>
          <w:rFonts w:ascii="Times New Roman" w:hAnsi="Times New Roman"/>
          <w:b w:val="false"/>
          <w:i/>
          <w:color w:val="000000"/>
          <w:sz w:val="24"/>
        </w:rPr>
        <w:t xml:space="preserve">Time out.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resident in time out must never be physically prevented from leaving the time out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Time out may take place away from the area of activity or from other residents, such as in the resident’s room, or in the area of activity of other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Staff must monitor the resident while the resident is in time out.</w:t>
      </w:r>
    </w:p>
    <w:p>
      <w:pPr>
        <w:spacing w:before="0" w:after="0" w:line="480"/>
        <w:ind w:left="120"/>
        <w:jc w:val="both"/>
      </w:pPr>
      <w:r>
        <w:rPr>
          <w:rFonts w:ascii="Times New Roman" w:hAnsi="Times New Roman"/>
          <w:b/>
          <w:i w:val="false"/>
          <w:color w:val="000000"/>
          <w:sz w:val="24"/>
        </w:rPr>
        <w:t>441—114.20</w:t>
      </w:r>
      <w:r>
        <w:rPr>
          <w:rFonts w:ascii="Times New Roman" w:hAnsi="Times New Roman"/>
          <w:b/>
          <w:i w:val="false"/>
          <w:color w:val="000000"/>
          <w:sz w:val="24"/>
        </w:rPr>
        <w:t xml:space="preserve">(237) </w:t>
      </w:r>
      <w:r>
        <w:rPr>
          <w:rFonts w:ascii="Times New Roman" w:hAnsi="Times New Roman"/>
          <w:b/>
          <w:i w:val="false"/>
          <w:color w:val="000000"/>
          <w:sz w:val="24"/>
        </w:rPr>
        <w:t xml:space="preserve">Illness, accident, death, or unauthorized absence from the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114.20(1)</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illness, injury or elopement. </w:t>
      </w:r>
      <w:r>
        <w:rPr>
          <w:rFonts w:ascii="Times New Roman" w:hAnsi="Times New Roman"/>
          <w:b w:val="false"/>
          <w:i w:val="false"/>
          <w:color w:val="000000"/>
          <w:sz w:val="24"/>
        </w:rPr>
        <w:t>A facility shall notify the child’s parent(s), guardian and responsible agency of any serious illness, incident involving serious bodily injury, circumstances causing removal of the child from the facility, or elopement.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114.20(2)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death. </w:t>
      </w:r>
      <w:r>
        <w:rPr>
          <w:rFonts w:ascii="Times New Roman" w:hAnsi="Times New Roman"/>
          <w:b w:val="false"/>
          <w:i w:val="false"/>
          <w:color w:val="000000"/>
          <w:sz w:val="24"/>
        </w:rPr>
        <w:t>In the event of the death of a child, a facility shall notify immediately the physician, the child’s parent(s) or guardian, the placing agency, and the appropriate state authority. The agency shall cooperate in arrangements made for examination, autopsy, and burial.</w:t>
      </w:r>
    </w:p>
    <w:p>
      <w:pPr>
        <w:spacing w:before="210" w:after="0" w:line="480"/>
        <w:ind w:left="120"/>
        <w:jc w:val="both"/>
      </w:pPr>
      <w:r>
        <w:rPr>
          <w:rFonts w:ascii="Times New Roman" w:hAnsi="Times New Roman"/>
          <w:b/>
          <w:i w:val="false"/>
          <w:color w:val="000000"/>
          <w:sz w:val="24"/>
        </w:rPr>
        <w:t>441—114.21</w:t>
      </w:r>
      <w:r>
        <w:rPr>
          <w:rFonts w:ascii="Times New Roman" w:hAnsi="Times New Roman"/>
          <w:b/>
          <w:i w:val="false"/>
          <w:color w:val="000000"/>
          <w:sz w:val="24"/>
        </w:rPr>
        <w:t xml:space="preserve">(237) </w:t>
      </w:r>
      <w:r>
        <w:rPr>
          <w:rFonts w:ascii="Times New Roman" w:hAnsi="Times New Roman"/>
          <w:b/>
          <w:i w:val="false"/>
          <w:color w:val="000000"/>
          <w:sz w:val="24"/>
        </w:rPr>
        <w:t xml:space="preserve">Records. </w:t>
      </w:r>
      <w:r>
        <w:rPr>
          <w:rFonts w:ascii="Times New Roman" w:hAnsi="Times New Roman"/>
          <w:b w:val="false"/>
          <w:i w:val="false"/>
          <w:color w:val="000000"/>
          <w:sz w:val="24"/>
        </w:rPr>
        <w:t>In the event of closure of a facility, children’s records shall be sent to the department for retention according to the department’s records retention policy or the period defined in the department’s contract for services, whichever is longer.</w:t>
      </w:r>
    </w:p>
    <w:p>
      <w:pPr>
        <w:spacing w:before="0" w:after="0" w:line="480"/>
        <w:ind w:left="120"/>
        <w:jc w:val="both"/>
      </w:pPr>
      <w:r>
        <w:rPr>
          <w:rFonts w:ascii="Times New Roman" w:hAnsi="Times New Roman"/>
          <w:b/>
          <w:i w:val="false"/>
          <w:color w:val="000000"/>
          <w:sz w:val="24"/>
        </w:rPr>
        <w:t>441—114.22</w:t>
      </w:r>
      <w:r>
        <w:rPr>
          <w:rFonts w:ascii="Times New Roman" w:hAnsi="Times New Roman"/>
          <w:b/>
          <w:i w:val="false"/>
          <w:color w:val="000000"/>
          <w:sz w:val="24"/>
        </w:rPr>
        <w:t xml:space="preserve">(237) </w:t>
      </w:r>
      <w:r>
        <w:rPr>
          <w:rFonts w:ascii="Times New Roman" w:hAnsi="Times New Roman"/>
          <w:b/>
          <w:i w:val="false"/>
          <w:color w:val="000000"/>
          <w:sz w:val="24"/>
        </w:rPr>
        <w:t xml:space="preserve">Unannounced licensing visits from the department of inspections, appeals, and licensing.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114.22(1)</w:t>
      </w:r>
      <w:r>
        <w:rPr>
          <w:rFonts w:ascii="Times New Roman" w:hAnsi="Times New Roman"/>
          <w:b w:val="false"/>
          <w:i w:val="false"/>
          <w:color w:val="000000"/>
          <w:sz w:val="24"/>
        </w:rPr>
        <w:t> </w:t>
      </w:r>
      <w:r>
        <w:rPr>
          <w:rFonts w:ascii="Times New Roman" w:hAnsi="Times New Roman"/>
          <w:b w:val="false"/>
          <w:i w:val="false"/>
          <w:color w:val="000000"/>
          <w:sz w:val="24"/>
        </w:rPr>
        <w:t>Frequency.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Time. </w:t>
      </w:r>
      <w:r>
        <w:rPr>
          <w:rFonts w:ascii="Times New Roman" w:hAnsi="Times New Roman"/>
          <w:b w:val="false"/>
          <w:i w:val="false"/>
          <w:color w:val="000000"/>
          <w:sz w:val="24"/>
        </w:rPr>
        <w:t>At least one annual unannounced visit will occur during periods of the day when the child would normally be in the facility and awake.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Activities. </w:t>
      </w:r>
      <w:r>
        <w:rPr>
          <w:rFonts w:ascii="Times New Roman" w:hAnsi="Times New Roman"/>
          <w:b w:val="false"/>
          <w:i w:val="false"/>
          <w:color w:val="000000"/>
          <w:sz w:val="24"/>
        </w:rPr>
        <w:t>The visit will include an assessment of but not be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Interaction between the staff and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Interaction between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Discussion with the child about experiences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check on any previously cited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Overall impression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Staff 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Recommendation. </w:t>
      </w:r>
      <w:r>
        <w:rPr>
          <w:rFonts w:ascii="Times New Roman" w:hAnsi="Times New Roman"/>
          <w:b w:val="false"/>
          <w:i w:val="false"/>
          <w:color w:val="000000"/>
          <w:sz w:val="24"/>
        </w:rPr>
        <w:t>The department’s licensing staff will recommend follow-up actions when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114.22(2)</w:t>
      </w:r>
      <w:r>
        <w:rPr>
          <w:rFonts w:ascii="Times New Roman" w:hAnsi="Times New Roman"/>
          <w:b w:val="false"/>
          <w:i w:val="false"/>
          <w:color w:val="000000"/>
          <w:sz w:val="24"/>
        </w:rPr>
        <w:t> </w:t>
      </w:r>
      <w:r>
        <w:rPr>
          <w:rFonts w:ascii="Times New Roman" w:hAnsi="Times New Roman"/>
          <w:b w:val="false"/>
          <w:i w:val="false"/>
          <w:color w:val="000000"/>
          <w:sz w:val="24"/>
        </w:rPr>
        <w:t>Visits at other times may occur as a result of a self-reported incident or specific complaint.</w:t>
      </w:r>
    </w:p>
    <w:p>
      <w:pPr>
        <w:spacing w:before="0" w:after="0" w:line="480"/>
        <w:ind w:left="120"/>
        <w:jc w:val="both"/>
      </w:pPr>
      <w:r>
        <w:rPr>
          <w:rFonts w:ascii="Times New Roman" w:hAnsi="Times New Roman"/>
          <w:b/>
          <w:i w:val="false"/>
          <w:color w:val="000000"/>
          <w:sz w:val="24"/>
        </w:rPr>
        <w:t>441—114.23</w:t>
      </w:r>
      <w:r>
        <w:rPr>
          <w:rFonts w:ascii="Times New Roman" w:hAnsi="Times New Roman"/>
          <w:b/>
          <w:i w:val="false"/>
          <w:color w:val="000000"/>
          <w:sz w:val="24"/>
        </w:rPr>
        <w:t xml:space="preserve">(237) </w:t>
      </w:r>
      <w:r>
        <w:rPr>
          <w:rFonts w:ascii="Times New Roman" w:hAnsi="Times New Roman"/>
          <w:b/>
          <w:i w:val="false"/>
          <w:color w:val="000000"/>
          <w:sz w:val="24"/>
        </w:rPr>
        <w:t xml:space="preserve">Record check information. </w:t>
      </w:r>
      <w:r>
        <w:rPr>
          <w:rFonts w:ascii="Times New Roman" w:hAnsi="Times New Roman"/>
          <w:b w:val="false"/>
          <w:i w:val="false"/>
          <w:color w:val="000000"/>
          <w:sz w:val="24"/>
        </w:rPr>
        <w:t>Record checks are required for any entity being considered for licensure or employment by a licensee on a facility campus where children reside to determine whether any founded child or dependent adult abuse  reports or criminal convictions exist or whether the entity has been placed on a sex offender registry. The facility shall not employ any person who has been convicted of a crime involving the mistreatment or exploitation of a child. The facility shall not employ any person who has a record of a criminal conviction or founded child or dependent adult abuse report unless the department has evaluated the crime or child or dependent adult abuse and determined that the crime or child or dependent adult abuse does not merit prohibition of licensure, volunteering 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114.23(1)</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Each entity being considered for licensure or employment shall be checked for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with the Iowa central abuse registry, using the request for child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with the Iowa division of criminal investigation, using the department’s criminal history record check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Records with the child abuse registry of any state where the person has lived during the past five years;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Fingerprints provided to the department of public safety for submission through the state criminal history repository to the United States Department of Justice, Federal Bureau of Investigation, for a national criminal history check. Fingerprinting, for the purpose of a national criminal history check, is required for all entities considered for licensure or employment by a licensee on a facility campus where children reside.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114.23(2)</w:t>
      </w:r>
      <w:r>
        <w:rPr>
          <w:rFonts w:ascii="Times New Roman" w:hAnsi="Times New Roman"/>
          <w:b w:val="false"/>
          <w:i w:val="false"/>
          <w:color w:val="000000"/>
          <w:sz w:val="24"/>
        </w:rPr>
        <w:t> </w:t>
      </w:r>
      <w:r>
        <w:rPr>
          <w:rFonts w:ascii="Times New Roman" w:hAnsi="Times New Roman"/>
          <w:b w:val="false"/>
          <w:i/>
          <w:color w:val="000000"/>
          <w:sz w:val="24"/>
        </w:rPr>
        <w:t xml:space="preserve">Evaluation of record. </w:t>
      </w:r>
      <w:r>
        <w:rPr>
          <w:rFonts w:ascii="Times New Roman" w:hAnsi="Times New Roman"/>
          <w:b w:val="false"/>
          <w:i w:val="false"/>
          <w:color w:val="000000"/>
          <w:sz w:val="24"/>
        </w:rPr>
        <w:t>If an entity for which a background check is required has a record of founded child or dependent adult abuse, a criminal conviction, or placement on a sex offender registry, the department will prohibit licensure or employment unless an evaluation determines that the child or dependent adult abuse, criminal conviction, or placement on a sex offender registry does not warrant prohibition.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The evaluation will consider the nature and seriousness of the founded child or dependent adult abuse or criminal conviction in relation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position sought or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abuse or crime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abuse or crime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the abuse or crime again,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Evaluation form. </w:t>
      </w:r>
      <w:r>
        <w:rPr>
          <w:rFonts w:ascii="Times New Roman" w:hAnsi="Times New Roman"/>
          <w:b w:val="false"/>
          <w:i w:val="false"/>
          <w:color w:val="000000"/>
          <w:sz w:val="24"/>
        </w:rPr>
        <w:t>The person with the founded child or dependent adult abuse or criminal conviction report shall complete and return the department’s record check evaluation form within ten calendar days of the date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114.23(3)</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conduct the evaluation and make the decision of whether or not the founded child or dependent adult abuse or criminal conviction warrants prohibition of licensure or employment by a licensee. The department will issue a notice of decision in writing to the requesting entity. The requesting entity is responsible for providing a copy of the notice to the prospective employee in accordance with the facility’s employment procedures. Record check evaluations are valid for 30 days from the date the notice of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2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1">
        <w:r>
          <w:rPr>
            <w:rStyle w:val="Hyperlink"/>
            <w:rFonts w:ascii="Times New Roman" w:hAnsi="Times New Roman"/>
            <w:b w:val="false"/>
            <w:i w:val="false"/>
            <w:color w:val="000000"/>
            <w:sz w:val="24"/>
          </w:rPr>
          <w:t>237.3</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105.pdf" Type="http://schemas.openxmlformats.org/officeDocument/2006/relationships/hyperlink" Id="rId5"/>
    <Relationship TargetMode="External" Target="https://www.legis.iowa.gov/docs/iac/chapter/441.125.pdf" Type="http://schemas.openxmlformats.org/officeDocument/2006/relationships/hyperlink" Id="rId6"/>
    <Relationship TargetMode="External" Target="https://www.legis.iowa.gov/docs/iac/chapter/441.105.pdf" Type="http://schemas.openxmlformats.org/officeDocument/2006/relationships/hyperlink" Id="rId7"/>
    <Relationship TargetMode="External" Target="https://www.legis.iowa.gov/docs/iac/chapter/441.105.pdf" Type="http://schemas.openxmlformats.org/officeDocument/2006/relationships/hyperlink" Id="rId8"/>
    <Relationship TargetMode="External" Target="https://www.legis.iowa.gov/docs/ico/chapter/237.1.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ac/chapter/441.105.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co/chapter/135.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41.114.23.pdf" Type="http://schemas.openxmlformats.org/officeDocument/2006/relationships/hyperlink" Id="rId15"/>
    <Relationship TargetMode="External" Target="https://www.legis.iowa.gov/docs/iac/rule/441.114.10.pdf" Type="http://schemas.openxmlformats.org/officeDocument/2006/relationships/hyperlink" Id="rId16"/>
    <Relationship TargetMode="External" Target="https://www.legis.iowa.gov/docs/iac/rule/441.114.10.pdf" Type="http://schemas.openxmlformats.org/officeDocument/2006/relationships/hyperlink" Id="rId17"/>
    <Relationship TargetMode="External" Target="https://www.legis.iowa.gov/docs/iac/rule/441.114.11.pdf" Type="http://schemas.openxmlformats.org/officeDocument/2006/relationships/hyperlink" Id="rId18"/>
    <Relationship TargetMode="External" Target="https://www.legis.iowa.gov/docs/ico/chapter/232.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237.3.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